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9" w:rsidRPr="00091E91" w:rsidRDefault="00690129" w:rsidP="00690129">
      <w:pPr>
        <w:pStyle w:val="Nagwek2"/>
        <w:spacing w:before="120" w:line="240" w:lineRule="auto"/>
        <w:rPr>
          <w:rFonts w:ascii="Fira Sans Extra Condensed SemiB" w:hAnsi="Fira Sans Extra Condensed SemiB" w:cs="Arial"/>
          <w:color w:val="auto"/>
          <w:sz w:val="40"/>
          <w:szCs w:val="40"/>
        </w:rPr>
      </w:pP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Obroty towarowe handlu zagranicznego ogółem </w:t>
      </w:r>
      <w:r w:rsidR="00091E91">
        <w:rPr>
          <w:rFonts w:ascii="Fira Sans Extra Condensed SemiB" w:hAnsi="Fira Sans Extra Condensed SemiB" w:cs="Arial"/>
          <w:color w:val="auto"/>
          <w:sz w:val="40"/>
          <w:szCs w:val="40"/>
        </w:rPr>
        <w:br/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i według krajów w </w:t>
      </w:r>
      <w:r w:rsidR="00CC06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okresie 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stycz</w:t>
      </w:r>
      <w:r w:rsidR="00CC06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eń – </w:t>
      </w:r>
      <w:r w:rsidR="00987042">
        <w:rPr>
          <w:rFonts w:ascii="Fira Sans Extra Condensed SemiB" w:hAnsi="Fira Sans Extra Condensed SemiB" w:cs="Arial"/>
          <w:color w:val="auto"/>
          <w:sz w:val="40"/>
          <w:szCs w:val="40"/>
        </w:rPr>
        <w:t>wrzesień</w:t>
      </w:r>
      <w:r w:rsidR="00CC06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201</w:t>
      </w:r>
      <w:r w:rsidR="00FF0040">
        <w:rPr>
          <w:rFonts w:ascii="Fira Sans Extra Condensed SemiB" w:hAnsi="Fira Sans Extra Condensed SemiB" w:cs="Arial"/>
          <w:color w:val="auto"/>
          <w:sz w:val="40"/>
          <w:szCs w:val="40"/>
        </w:rPr>
        <w:t>9</w:t>
      </w:r>
      <w:r w:rsidR="008950C8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r.</w:t>
      </w:r>
    </w:p>
    <w:p w:rsidR="00FD5DDE" w:rsidRDefault="00FD5DDE" w:rsidP="00074DD8">
      <w:pPr>
        <w:pStyle w:val="tytuinformacji"/>
        <w:rPr>
          <w:sz w:val="32"/>
        </w:rPr>
      </w:pP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5F87F1F5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923" w:rsidRPr="009A5C86" w:rsidRDefault="00886923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 w:rsidRPr="00A5504C">
                              <w:t xml:space="preserve">Wskaźnik dynamiki </w:t>
                            </w:r>
                            <w:r>
                              <w:t>importu (w PLN)</w:t>
                            </w:r>
                            <w:r w:rsidRPr="00A5504C">
                              <w:t xml:space="preserve"> wyniósł 10</w:t>
                            </w:r>
                            <w:r>
                              <w:t>4</w:t>
                            </w:r>
                            <w:r w:rsidRPr="00A5504C">
                              <w:t>,</w:t>
                            </w:r>
                            <w:r>
                              <w:t>1</w:t>
                            </w:r>
                            <w:r w:rsidRPr="00A5504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886923" w:rsidRPr="009A5C86" w:rsidRDefault="00886923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 w:rsidRPr="00A5504C">
                        <w:t xml:space="preserve">Wskaźnik dynamiki </w:t>
                      </w:r>
                      <w:r>
                        <w:t>importu (w PLN)</w:t>
                      </w:r>
                      <w:r w:rsidRPr="00A5504C">
                        <w:t xml:space="preserve"> wyniósł 10</w:t>
                      </w:r>
                      <w:r>
                        <w:t>4</w:t>
                      </w:r>
                      <w:r w:rsidRPr="00A5504C">
                        <w:t>,</w:t>
                      </w:r>
                      <w:r>
                        <w:t>1</w:t>
                      </w:r>
                      <w:r w:rsidRPr="00A5504C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690129" w:rsidRDefault="00003437" w:rsidP="00633014">
      <w:pPr>
        <w:pStyle w:val="LID"/>
      </w:pPr>
      <w:r w:rsidRPr="00DF6110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5F87F1F7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715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715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923" w:rsidRPr="00B66B19" w:rsidRDefault="00442B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5F87F230">
                                <v:shape id="Obraz 33" o:spid="_x0000_i1025" type="#_x0000_t75" style="width:28.55pt;height:29.2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8869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88692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106,5</w:t>
                            </w:r>
                          </w:p>
                          <w:p w:rsidR="00886923" w:rsidRPr="00B747B6" w:rsidRDefault="00886923" w:rsidP="001C3CA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B747B6">
                              <w:t xml:space="preserve">Wskaźnik dynamiki </w:t>
                            </w:r>
                            <w:r>
                              <w:t>eksportu</w:t>
                            </w:r>
                            <w:r w:rsidRPr="00B747B6">
                              <w:t xml:space="preserve"> w </w:t>
                            </w:r>
                            <w:r>
                              <w:t>PLN (analogiczny okres ub.r. = 100)</w:t>
                            </w:r>
                          </w:p>
                          <w:p w:rsidR="00886923" w:rsidRPr="00FF0040" w:rsidRDefault="00886923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FF00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7" type="#_x0000_t202" style="position:absolute;margin-left:0;margin-top:6.55pt;width:2in;height:92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56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" fillcolor="#001d77" stroked="f">
                <v:textbox>
                  <w:txbxContent>
                    <w:p w:rsidR="00886923" w:rsidRPr="00B66B19" w:rsidRDefault="00886923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5F87F230">
                          <v:shape id="Obraz 33" o:spid="_x0000_i1025" type="#_x0000_t75" style="width:28.3pt;height:29.4pt;visibility:visible;mso-wrap-style:square" o:bullet="t">
                            <v:imagedata r:id="rId12" o:title=""/>
                          </v:shape>
                        </w:pic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106,5</w:t>
                      </w:r>
                    </w:p>
                    <w:p w:rsidR="00886923" w:rsidRPr="00B747B6" w:rsidRDefault="00886923" w:rsidP="001C3CA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B747B6">
                        <w:t xml:space="preserve">Wskaźnik dynamiki </w:t>
                      </w:r>
                      <w:r>
                        <w:t>eksportu</w:t>
                      </w:r>
                      <w:r w:rsidRPr="00B747B6">
                        <w:t xml:space="preserve"> w </w:t>
                      </w:r>
                      <w:r>
                        <w:t>PLN (analogiczny okres ub.r. = 100)</w:t>
                      </w:r>
                    </w:p>
                    <w:p w:rsidR="00886923" w:rsidRPr="00FF0040" w:rsidRDefault="00886923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FF004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C86" w:rsidRPr="00DF6110">
        <w:t>Obroty towarowe handlu zagranicznego</w:t>
      </w:r>
      <w:r w:rsidR="005F3D74" w:rsidRPr="00DF6110">
        <w:rPr>
          <w:rStyle w:val="Odwoanieprzypisudolnego"/>
          <w:rFonts w:ascii="Fira Sans Extra Condensed SemiB" w:hAnsi="Fira Sans Extra Condensed SemiB" w:cs="Arial"/>
        </w:rPr>
        <w:footnoteReference w:id="1"/>
      </w:r>
      <w:r w:rsidR="009A5C86" w:rsidRPr="00DF6110">
        <w:rPr>
          <w:rFonts w:cs="Arial"/>
        </w:rPr>
        <w:t xml:space="preserve"> </w:t>
      </w:r>
      <w:r w:rsidR="004D02B5" w:rsidRPr="00DF6110">
        <w:rPr>
          <w:rFonts w:cs="Arial"/>
        </w:rPr>
        <w:t xml:space="preserve">w okresie styczeń - </w:t>
      </w:r>
      <w:r w:rsidR="00556232">
        <w:rPr>
          <w:rFonts w:cs="Arial"/>
        </w:rPr>
        <w:t>wrzesień</w:t>
      </w:r>
      <w:r w:rsidR="004D02B5" w:rsidRPr="00DF6110">
        <w:rPr>
          <w:rFonts w:cs="Arial"/>
        </w:rPr>
        <w:t xml:space="preserve"> br. </w:t>
      </w:r>
      <w:r w:rsidR="00992926" w:rsidRPr="00DF6110">
        <w:rPr>
          <w:rFonts w:cs="Arial"/>
        </w:rPr>
        <w:t xml:space="preserve">wyniosły </w:t>
      </w:r>
      <w:r w:rsidR="00690129" w:rsidRPr="00DF6110">
        <w:rPr>
          <w:rFonts w:cs="Arial"/>
        </w:rPr>
        <w:t xml:space="preserve">w cenach bieżących </w:t>
      </w:r>
      <w:r w:rsidR="00FA48F8" w:rsidRPr="00E636B1">
        <w:rPr>
          <w:rFonts w:cs="Arial"/>
          <w:bCs/>
          <w:color w:val="000000"/>
        </w:rPr>
        <w:t>745,9</w:t>
      </w:r>
      <w:r w:rsidR="00FA48F8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="00690129" w:rsidRPr="00DF6110">
        <w:rPr>
          <w:rFonts w:cs="Arial"/>
        </w:rPr>
        <w:t>ml</w:t>
      </w:r>
      <w:r w:rsidR="00F70DA2" w:rsidRPr="00DF6110">
        <w:rPr>
          <w:rFonts w:cs="Arial"/>
        </w:rPr>
        <w:t>d</w:t>
      </w:r>
      <w:r w:rsidR="00690129" w:rsidRPr="00DF6110">
        <w:rPr>
          <w:rFonts w:cs="Arial"/>
        </w:rPr>
        <w:t> </w:t>
      </w:r>
      <w:r w:rsidR="00EB4BA2" w:rsidRPr="00DF6110">
        <w:rPr>
          <w:rFonts w:cs="Arial"/>
        </w:rPr>
        <w:t>PLN</w:t>
      </w:r>
      <w:r w:rsidR="00992926" w:rsidRPr="00DF6110">
        <w:rPr>
          <w:rFonts w:cs="Arial"/>
        </w:rPr>
        <w:t xml:space="preserve"> w  eksporcie oraz </w:t>
      </w:r>
      <w:r w:rsidR="00690129" w:rsidRPr="00DF6110">
        <w:rPr>
          <w:rFonts w:cs="Arial"/>
        </w:rPr>
        <w:t> </w:t>
      </w:r>
      <w:r w:rsidR="00E636B1" w:rsidRPr="00E636B1">
        <w:rPr>
          <w:rFonts w:cs="Arial"/>
          <w:bCs/>
          <w:color w:val="000000"/>
        </w:rPr>
        <w:t>742,3</w:t>
      </w:r>
      <w:r w:rsidR="00690129" w:rsidRPr="00DF6110">
        <w:rPr>
          <w:rFonts w:cs="Arial"/>
          <w:bCs/>
          <w:color w:val="000000"/>
        </w:rPr>
        <w:t xml:space="preserve"> </w:t>
      </w:r>
      <w:r w:rsidR="00F70DA2" w:rsidRPr="00DF6110">
        <w:rPr>
          <w:rFonts w:cs="Arial"/>
        </w:rPr>
        <w:t>mld</w:t>
      </w:r>
      <w:r w:rsidR="00690129" w:rsidRPr="00DF6110">
        <w:rPr>
          <w:rFonts w:cs="Arial"/>
        </w:rPr>
        <w:t xml:space="preserve"> </w:t>
      </w:r>
      <w:r w:rsidR="00EB4BA2" w:rsidRPr="00DF6110">
        <w:rPr>
          <w:rFonts w:cs="Arial"/>
        </w:rPr>
        <w:t>PLN</w:t>
      </w:r>
      <w:r w:rsidR="00992926" w:rsidRPr="00DF6110">
        <w:rPr>
          <w:rFonts w:cs="Arial"/>
        </w:rPr>
        <w:t xml:space="preserve"> w imporcie</w:t>
      </w:r>
      <w:r w:rsidR="00690129" w:rsidRPr="00DF6110">
        <w:rPr>
          <w:rFonts w:cs="Arial"/>
        </w:rPr>
        <w:t xml:space="preserve">. </w:t>
      </w:r>
      <w:r w:rsidR="00586CD0">
        <w:rPr>
          <w:rFonts w:cs="Arial"/>
        </w:rPr>
        <w:t>Dodatnie</w:t>
      </w:r>
      <w:r w:rsidR="00690129" w:rsidRPr="00DF6110">
        <w:rPr>
          <w:rFonts w:cs="Arial"/>
          <w:spacing w:val="-3"/>
        </w:rPr>
        <w:t xml:space="preserve"> saldo ukształtowało się na poziomie</w:t>
      </w:r>
      <w:r w:rsidR="00690129" w:rsidRPr="00690129">
        <w:rPr>
          <w:rFonts w:cs="Arial"/>
          <w:spacing w:val="-3"/>
        </w:rPr>
        <w:t xml:space="preserve"> </w:t>
      </w:r>
      <w:r w:rsidR="00E636B1">
        <w:rPr>
          <w:rFonts w:cs="Arial"/>
          <w:spacing w:val="-3"/>
        </w:rPr>
        <w:t>3</w:t>
      </w:r>
      <w:r w:rsidR="004D02B5">
        <w:rPr>
          <w:rFonts w:cs="Arial"/>
          <w:spacing w:val="-3"/>
        </w:rPr>
        <w:t>,</w:t>
      </w:r>
      <w:r w:rsidR="00E636B1">
        <w:rPr>
          <w:rFonts w:cs="Arial"/>
          <w:spacing w:val="-3"/>
        </w:rPr>
        <w:t>6</w:t>
      </w:r>
      <w:r w:rsidR="00690129" w:rsidRPr="00690129">
        <w:rPr>
          <w:rFonts w:cs="Arial"/>
          <w:spacing w:val="-3"/>
        </w:rPr>
        <w:t xml:space="preserve"> ml</w:t>
      </w:r>
      <w:r w:rsidR="00F70DA2">
        <w:rPr>
          <w:rFonts w:cs="Arial"/>
          <w:spacing w:val="-3"/>
        </w:rPr>
        <w:t>d</w:t>
      </w:r>
      <w:r w:rsidR="00690129" w:rsidRPr="00690129">
        <w:rPr>
          <w:rFonts w:cs="Arial"/>
          <w:spacing w:val="-3"/>
        </w:rPr>
        <w:t xml:space="preserve"> </w:t>
      </w:r>
      <w:r w:rsidR="00EB4BA2">
        <w:rPr>
          <w:rFonts w:cs="Arial"/>
          <w:spacing w:val="-3"/>
        </w:rPr>
        <w:t>PLN</w:t>
      </w:r>
      <w:r w:rsidR="00690129" w:rsidRPr="00690129">
        <w:rPr>
          <w:rFonts w:cs="Arial"/>
          <w:spacing w:val="-3"/>
        </w:rPr>
        <w:t xml:space="preserve">, </w:t>
      </w:r>
      <w:r w:rsidR="00992926">
        <w:rPr>
          <w:rFonts w:cs="Arial"/>
          <w:spacing w:val="-3"/>
        </w:rPr>
        <w:t>podczas gdy</w:t>
      </w:r>
      <w:r w:rsidR="00690129" w:rsidRPr="00690129">
        <w:rPr>
          <w:rFonts w:cs="Arial"/>
          <w:spacing w:val="-3"/>
        </w:rPr>
        <w:t xml:space="preserve"> </w:t>
      </w:r>
      <w:r w:rsidR="009D0070" w:rsidRPr="00EB4BA2">
        <w:t>w</w:t>
      </w:r>
      <w:r w:rsidR="00EB4BA2">
        <w:t xml:space="preserve"> </w:t>
      </w:r>
      <w:r w:rsidR="003E0EA7" w:rsidRPr="00EB4BA2">
        <w:t>analogicznym</w:t>
      </w:r>
      <w:r w:rsidR="003E0EA7">
        <w:rPr>
          <w:rFonts w:cs="Arial"/>
          <w:spacing w:val="-3"/>
        </w:rPr>
        <w:t xml:space="preserve"> okresie roku ubiegłego </w:t>
      </w:r>
      <w:r w:rsidR="00690129" w:rsidRPr="00690129">
        <w:rPr>
          <w:rFonts w:cs="Arial"/>
          <w:spacing w:val="-3"/>
        </w:rPr>
        <w:t xml:space="preserve">wyniosło </w:t>
      </w:r>
      <w:r w:rsidR="00D41FA3" w:rsidRPr="0027314E">
        <w:rPr>
          <w:rFonts w:cs="Arial"/>
          <w:spacing w:val="-3"/>
        </w:rPr>
        <w:t xml:space="preserve">minus </w:t>
      </w:r>
      <w:r w:rsidR="00DF6110" w:rsidRPr="0027314E">
        <w:rPr>
          <w:rFonts w:cs="Arial"/>
          <w:spacing w:val="-3"/>
        </w:rPr>
        <w:t>12</w:t>
      </w:r>
      <w:r w:rsidR="00DC1533" w:rsidRPr="0027314E">
        <w:rPr>
          <w:rFonts w:cs="Arial"/>
          <w:spacing w:val="-3"/>
        </w:rPr>
        <w:t>,</w:t>
      </w:r>
      <w:r w:rsidR="00DF6110" w:rsidRPr="0027314E">
        <w:rPr>
          <w:rFonts w:cs="Arial"/>
          <w:spacing w:val="-3"/>
        </w:rPr>
        <w:t>3</w:t>
      </w:r>
      <w:r w:rsidR="00EB4BA2">
        <w:t xml:space="preserve"> </w:t>
      </w:r>
      <w:r w:rsidR="00690129" w:rsidRPr="00EB4BA2">
        <w:t>ml</w:t>
      </w:r>
      <w:r w:rsidR="00F70DA2" w:rsidRPr="00EB4BA2">
        <w:t>d</w:t>
      </w:r>
      <w:r w:rsidR="00EB4BA2">
        <w:t xml:space="preserve"> </w:t>
      </w:r>
      <w:r w:rsidR="00EB4BA2" w:rsidRPr="00EB4BA2">
        <w:t>PLN</w:t>
      </w:r>
      <w:r w:rsidR="00690129" w:rsidRPr="009A5C86">
        <w:rPr>
          <w:rFonts w:cs="Arial"/>
          <w:spacing w:val="-3"/>
        </w:rPr>
        <w:t>.</w:t>
      </w:r>
      <w:r w:rsidR="004B64A7">
        <w:rPr>
          <w:rFonts w:cs="Arial"/>
          <w:spacing w:val="-3"/>
        </w:rPr>
        <w:t xml:space="preserve"> </w:t>
      </w:r>
      <w:r w:rsidR="004B64A7" w:rsidRPr="009A5C86">
        <w:rPr>
          <w:rFonts w:cs="Arial"/>
        </w:rPr>
        <w:t xml:space="preserve">W porównaniu </w:t>
      </w:r>
      <w:r w:rsidR="004B64A7" w:rsidRPr="00F70DA2">
        <w:t>z</w:t>
      </w:r>
      <w:r w:rsidR="003E0EA7">
        <w:t>e styczniem</w:t>
      </w:r>
      <w:r w:rsidR="003A6F6A">
        <w:t xml:space="preserve"> – </w:t>
      </w:r>
      <w:r w:rsidR="00E636B1">
        <w:t>wrześniem</w:t>
      </w:r>
      <w:r w:rsidR="003A6F6A">
        <w:t xml:space="preserve"> </w:t>
      </w:r>
      <w:r w:rsidR="003E0EA7">
        <w:rPr>
          <w:rFonts w:cs="Arial"/>
          <w:spacing w:val="-3"/>
        </w:rPr>
        <w:t>201</w:t>
      </w:r>
      <w:r w:rsidR="00DD08C1">
        <w:rPr>
          <w:rFonts w:cs="Arial"/>
          <w:spacing w:val="-3"/>
        </w:rPr>
        <w:t>8</w:t>
      </w:r>
      <w:r w:rsidR="004B64A7" w:rsidRPr="009A5C86">
        <w:rPr>
          <w:rFonts w:cs="Arial"/>
          <w:spacing w:val="-3"/>
        </w:rPr>
        <w:t xml:space="preserve"> rok</w:t>
      </w:r>
      <w:r w:rsidR="003E0EA7">
        <w:rPr>
          <w:rFonts w:cs="Arial"/>
          <w:spacing w:val="-3"/>
        </w:rPr>
        <w:t xml:space="preserve">u </w:t>
      </w:r>
      <w:r w:rsidR="004B64A7" w:rsidRPr="009A5C86">
        <w:rPr>
          <w:rFonts w:cs="Arial"/>
        </w:rPr>
        <w:t xml:space="preserve">eksport </w:t>
      </w:r>
      <w:r w:rsidR="00DD08C1">
        <w:rPr>
          <w:rFonts w:cs="Arial"/>
        </w:rPr>
        <w:t>wzrósł</w:t>
      </w:r>
      <w:r w:rsidR="004B64A7" w:rsidRPr="009A5C86">
        <w:rPr>
          <w:rFonts w:cs="Arial"/>
        </w:rPr>
        <w:t xml:space="preserve"> </w:t>
      </w:r>
      <w:r w:rsidR="004B64A7" w:rsidRPr="00F70DA2">
        <w:t>o</w:t>
      </w:r>
      <w:r w:rsidR="00682774">
        <w:t> </w:t>
      </w:r>
      <w:r w:rsidR="0044566C">
        <w:t>6</w:t>
      </w:r>
      <w:r w:rsidR="003E0EA7">
        <w:t>,</w:t>
      </w:r>
      <w:r w:rsidR="00E636B1">
        <w:t>5</w:t>
      </w:r>
      <w:r w:rsidR="004B64A7" w:rsidRPr="009A5C86">
        <w:rPr>
          <w:rFonts w:cs="Arial"/>
        </w:rPr>
        <w:t>%, a import o </w:t>
      </w:r>
      <w:r w:rsidR="00DF6110">
        <w:rPr>
          <w:rFonts w:cs="Arial"/>
        </w:rPr>
        <w:t>4</w:t>
      </w:r>
      <w:r w:rsidR="0044566C">
        <w:rPr>
          <w:rFonts w:cs="Arial"/>
        </w:rPr>
        <w:t>,</w:t>
      </w:r>
      <w:r w:rsidR="00DF6110">
        <w:rPr>
          <w:rFonts w:cs="Arial"/>
        </w:rPr>
        <w:t>1</w:t>
      </w:r>
      <w:r w:rsidR="003E0EA7">
        <w:rPr>
          <w:rFonts w:cs="Arial"/>
        </w:rPr>
        <w:t>%</w:t>
      </w:r>
      <w:r w:rsidR="004B64A7">
        <w:rPr>
          <w:rFonts w:cs="Arial"/>
        </w:rPr>
        <w:t>.</w:t>
      </w:r>
    </w:p>
    <w:p w:rsidR="00FD5DDE" w:rsidRDefault="00FD5DDE" w:rsidP="00074DD8">
      <w:pPr>
        <w:pStyle w:val="Nagwek1"/>
      </w:pPr>
    </w:p>
    <w:p w:rsidR="00FD5DDE" w:rsidRDefault="00FD5DDE" w:rsidP="00074DD8">
      <w:pPr>
        <w:pStyle w:val="Nagwek1"/>
      </w:pPr>
    </w:p>
    <w:p w:rsidR="00C22105" w:rsidRPr="00277A82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F87F1F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923" w:rsidRPr="00D616D2" w:rsidRDefault="00886923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886923" w:rsidRPr="00D616D2" w:rsidRDefault="00886923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77A82" w:rsidRPr="00277A82">
        <w:t xml:space="preserve">Obroty towarowe handlu zagranicznego wyrażone w dolarach USA </w:t>
      </w:r>
      <w:r w:rsidR="00277A82">
        <w:t>i</w:t>
      </w:r>
      <w:r w:rsidR="00277A82" w:rsidRPr="00277A82">
        <w:t xml:space="preserve"> w </w:t>
      </w:r>
      <w:r w:rsidR="00277A82">
        <w:t>euro</w:t>
      </w:r>
      <w:r w:rsidR="00277A82" w:rsidRPr="00277A82">
        <w:t xml:space="preserve"> </w:t>
      </w:r>
    </w:p>
    <w:p w:rsidR="0084092E" w:rsidRPr="0084092E" w:rsidRDefault="00277A82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pacing w:val="-3"/>
          <w:szCs w:val="19"/>
        </w:rPr>
      </w:pPr>
      <w:r w:rsidRPr="0084092E">
        <w:rPr>
          <w:rFonts w:cs="Arial"/>
          <w:spacing w:val="-3"/>
          <w:szCs w:val="19"/>
        </w:rPr>
        <w:t xml:space="preserve">Eksport wyrażony w dolarach USA </w:t>
      </w:r>
      <w:r w:rsidRPr="00326316">
        <w:rPr>
          <w:rFonts w:cs="Arial"/>
          <w:spacing w:val="-3"/>
          <w:szCs w:val="19"/>
        </w:rPr>
        <w:t xml:space="preserve">wyniósł </w:t>
      </w:r>
      <w:r w:rsidR="000709C0" w:rsidRPr="0027314E">
        <w:rPr>
          <w:rFonts w:cs="Arial"/>
          <w:bCs/>
          <w:color w:val="000000"/>
          <w:szCs w:val="19"/>
        </w:rPr>
        <w:t>195,6</w:t>
      </w:r>
      <w:r w:rsidR="00F70DA2" w:rsidRPr="0027314E">
        <w:rPr>
          <w:rFonts w:cs="Arial"/>
          <w:bCs/>
          <w:color w:val="000000"/>
          <w:szCs w:val="19"/>
        </w:rPr>
        <w:t xml:space="preserve"> </w:t>
      </w:r>
      <w:r w:rsidRPr="0027314E">
        <w:rPr>
          <w:rFonts w:cs="Arial"/>
          <w:spacing w:val="-3"/>
          <w:szCs w:val="19"/>
        </w:rPr>
        <w:t>ml</w:t>
      </w:r>
      <w:r w:rsidR="00F70DA2" w:rsidRPr="0027314E">
        <w:rPr>
          <w:rFonts w:cs="Arial"/>
          <w:spacing w:val="-3"/>
          <w:szCs w:val="19"/>
        </w:rPr>
        <w:t>d</w:t>
      </w:r>
      <w:r w:rsidRPr="0027314E">
        <w:rPr>
          <w:rFonts w:cs="Arial"/>
          <w:spacing w:val="-3"/>
          <w:szCs w:val="19"/>
        </w:rPr>
        <w:t xml:space="preserve"> USD, a import </w:t>
      </w:r>
      <w:r w:rsidR="000709C0" w:rsidRPr="0027314E">
        <w:rPr>
          <w:rFonts w:cs="Arial"/>
          <w:bCs/>
          <w:color w:val="000000"/>
          <w:szCs w:val="19"/>
        </w:rPr>
        <w:t>194,7</w:t>
      </w:r>
      <w:r w:rsidRPr="00326316">
        <w:rPr>
          <w:rFonts w:cs="Arial"/>
          <w:spacing w:val="-3"/>
          <w:szCs w:val="19"/>
        </w:rPr>
        <w:t xml:space="preserve"> ml</w:t>
      </w:r>
      <w:r w:rsidR="00F70DA2" w:rsidRPr="00326316">
        <w:rPr>
          <w:rFonts w:cs="Arial"/>
          <w:spacing w:val="-3"/>
          <w:szCs w:val="19"/>
        </w:rPr>
        <w:t>d</w:t>
      </w:r>
      <w:r w:rsidR="003E0EA7">
        <w:rPr>
          <w:rFonts w:cs="Arial"/>
          <w:spacing w:val="-3"/>
          <w:szCs w:val="19"/>
        </w:rPr>
        <w:t xml:space="preserve"> USD </w:t>
      </w:r>
      <w:r w:rsidRPr="0084092E">
        <w:rPr>
          <w:rFonts w:cs="Arial"/>
          <w:spacing w:val="-3"/>
          <w:szCs w:val="19"/>
        </w:rPr>
        <w:t>(</w:t>
      </w:r>
      <w:r w:rsidR="00EB4BA2">
        <w:rPr>
          <w:rFonts w:cs="Arial"/>
          <w:spacing w:val="-3"/>
          <w:szCs w:val="19"/>
        </w:rPr>
        <w:t>spadek</w:t>
      </w:r>
      <w:r w:rsidR="003E0EA7">
        <w:rPr>
          <w:rFonts w:cs="Arial"/>
          <w:spacing w:val="-3"/>
          <w:szCs w:val="19"/>
        </w:rPr>
        <w:t xml:space="preserve"> </w:t>
      </w:r>
      <w:r w:rsidRPr="0084092E">
        <w:rPr>
          <w:rFonts w:cs="Arial"/>
          <w:spacing w:val="-3"/>
          <w:szCs w:val="19"/>
        </w:rPr>
        <w:t>odpowiednio</w:t>
      </w:r>
      <w:r w:rsidR="003A6F6A">
        <w:rPr>
          <w:rFonts w:cs="Arial"/>
          <w:spacing w:val="-3"/>
          <w:szCs w:val="19"/>
        </w:rPr>
        <w:t xml:space="preserve"> w eksporcie</w:t>
      </w:r>
      <w:r w:rsidRPr="0084092E">
        <w:rPr>
          <w:rFonts w:cs="Arial"/>
          <w:spacing w:val="-3"/>
          <w:szCs w:val="19"/>
        </w:rPr>
        <w:t xml:space="preserve"> o </w:t>
      </w:r>
      <w:r w:rsidR="00DF6110">
        <w:rPr>
          <w:rFonts w:cs="Arial"/>
          <w:spacing w:val="-3"/>
          <w:szCs w:val="19"/>
        </w:rPr>
        <w:t>1,</w:t>
      </w:r>
      <w:r w:rsidR="000709C0">
        <w:rPr>
          <w:rFonts w:cs="Arial"/>
          <w:spacing w:val="-3"/>
          <w:szCs w:val="19"/>
        </w:rPr>
        <w:t>1</w:t>
      </w:r>
      <w:r w:rsidR="00682774">
        <w:rPr>
          <w:rFonts w:cs="Arial"/>
          <w:spacing w:val="-3"/>
          <w:szCs w:val="19"/>
        </w:rPr>
        <w:t>%</w:t>
      </w:r>
      <w:r w:rsidR="003A6F6A">
        <w:rPr>
          <w:rFonts w:cs="Arial"/>
          <w:spacing w:val="-3"/>
          <w:szCs w:val="19"/>
        </w:rPr>
        <w:t>, a w imporcie</w:t>
      </w:r>
      <w:r w:rsidR="00682774">
        <w:rPr>
          <w:rFonts w:cs="Arial"/>
          <w:spacing w:val="-3"/>
          <w:szCs w:val="19"/>
        </w:rPr>
        <w:t xml:space="preserve"> o </w:t>
      </w:r>
      <w:r w:rsidR="000709C0">
        <w:rPr>
          <w:rFonts w:cs="Arial"/>
          <w:spacing w:val="-3"/>
          <w:szCs w:val="19"/>
        </w:rPr>
        <w:t>3,2</w:t>
      </w:r>
      <w:r w:rsidRPr="0084092E">
        <w:rPr>
          <w:rFonts w:cs="Arial"/>
          <w:spacing w:val="-3"/>
          <w:szCs w:val="19"/>
        </w:rPr>
        <w:t xml:space="preserve">%). </w:t>
      </w:r>
      <w:r w:rsidR="00DF6110">
        <w:rPr>
          <w:rFonts w:cs="Arial"/>
          <w:spacing w:val="-3"/>
          <w:szCs w:val="19"/>
        </w:rPr>
        <w:t>Dodatnie</w:t>
      </w:r>
      <w:r w:rsidRPr="0084092E">
        <w:rPr>
          <w:rFonts w:cs="Arial"/>
          <w:spacing w:val="-3"/>
          <w:szCs w:val="19"/>
        </w:rPr>
        <w:t xml:space="preserve"> saldo ukształtowało się </w:t>
      </w:r>
      <w:r w:rsidR="00992926">
        <w:rPr>
          <w:rFonts w:cs="Arial"/>
          <w:spacing w:val="-3"/>
          <w:szCs w:val="19"/>
        </w:rPr>
        <w:t>na poziomie</w:t>
      </w:r>
      <w:r w:rsidRPr="0084092E">
        <w:rPr>
          <w:rFonts w:cs="Arial"/>
          <w:spacing w:val="-3"/>
          <w:szCs w:val="19"/>
        </w:rPr>
        <w:t xml:space="preserve"> </w:t>
      </w:r>
      <w:r w:rsidR="00385406">
        <w:rPr>
          <w:rFonts w:cs="Arial"/>
          <w:bCs/>
          <w:color w:val="000000"/>
          <w:szCs w:val="19"/>
        </w:rPr>
        <w:t>0,</w:t>
      </w:r>
      <w:r w:rsidR="000709C0">
        <w:rPr>
          <w:rFonts w:cs="Arial"/>
          <w:bCs/>
          <w:color w:val="000000"/>
          <w:szCs w:val="19"/>
        </w:rPr>
        <w:t>9</w:t>
      </w:r>
      <w:r w:rsidRPr="0084092E">
        <w:rPr>
          <w:rFonts w:cs="Arial"/>
          <w:bCs/>
          <w:color w:val="000000"/>
          <w:szCs w:val="19"/>
        </w:rPr>
        <w:t xml:space="preserve"> </w:t>
      </w:r>
      <w:r w:rsidR="00F70DA2">
        <w:rPr>
          <w:rFonts w:cs="Arial"/>
          <w:spacing w:val="-3"/>
          <w:szCs w:val="19"/>
        </w:rPr>
        <w:t>mld</w:t>
      </w:r>
      <w:r w:rsidRPr="0084092E">
        <w:rPr>
          <w:rFonts w:cs="Arial"/>
          <w:spacing w:val="-3"/>
          <w:szCs w:val="19"/>
        </w:rPr>
        <w:t> USD</w:t>
      </w:r>
      <w:r w:rsidR="00EB4BA2">
        <w:rPr>
          <w:rFonts w:cs="Arial"/>
          <w:spacing w:val="-3"/>
          <w:szCs w:val="19"/>
        </w:rPr>
        <w:t xml:space="preserve">, </w:t>
      </w:r>
      <w:r w:rsidR="00657AC6">
        <w:t xml:space="preserve">a </w:t>
      </w:r>
      <w:r w:rsidR="00657AC6" w:rsidRPr="0084092E">
        <w:rPr>
          <w:rFonts w:cs="Arial"/>
          <w:spacing w:val="-3"/>
          <w:szCs w:val="19"/>
        </w:rPr>
        <w:t xml:space="preserve">w analogicznym okresie </w:t>
      </w:r>
      <w:r w:rsidR="00657AC6">
        <w:rPr>
          <w:rFonts w:cs="Arial"/>
          <w:spacing w:val="-3"/>
          <w:szCs w:val="19"/>
        </w:rPr>
        <w:t>ub. r</w:t>
      </w:r>
      <w:r w:rsidR="007E035E">
        <w:rPr>
          <w:rFonts w:cs="Arial"/>
          <w:spacing w:val="-3"/>
          <w:szCs w:val="19"/>
        </w:rPr>
        <w:t>.</w:t>
      </w:r>
      <w:r w:rsidR="00657AC6">
        <w:rPr>
          <w:rFonts w:cs="Arial"/>
          <w:spacing w:val="-3"/>
          <w:szCs w:val="19"/>
        </w:rPr>
        <w:t xml:space="preserve"> </w:t>
      </w:r>
      <w:r w:rsidR="00657AC6" w:rsidRPr="0027314E">
        <w:rPr>
          <w:rFonts w:cs="Arial"/>
          <w:spacing w:val="-3"/>
          <w:szCs w:val="19"/>
        </w:rPr>
        <w:t xml:space="preserve">wyniosło </w:t>
      </w:r>
      <w:r w:rsidR="00922F19" w:rsidRPr="0027314E">
        <w:rPr>
          <w:rFonts w:cs="Arial"/>
          <w:spacing w:val="-3"/>
          <w:szCs w:val="19"/>
        </w:rPr>
        <w:t xml:space="preserve">minus </w:t>
      </w:r>
      <w:r w:rsidR="009127E7" w:rsidRPr="0027314E">
        <w:rPr>
          <w:rFonts w:cs="Arial"/>
          <w:spacing w:val="-3"/>
          <w:szCs w:val="19"/>
        </w:rPr>
        <w:t>3</w:t>
      </w:r>
      <w:r w:rsidR="00326316" w:rsidRPr="0027314E">
        <w:rPr>
          <w:rFonts w:cs="Arial"/>
          <w:spacing w:val="-3"/>
          <w:szCs w:val="19"/>
        </w:rPr>
        <w:t>,5</w:t>
      </w:r>
      <w:r w:rsidR="00657AC6" w:rsidRPr="0027314E">
        <w:rPr>
          <w:rFonts w:cs="Arial"/>
          <w:spacing w:val="-3"/>
          <w:szCs w:val="19"/>
        </w:rPr>
        <w:t xml:space="preserve"> mld </w:t>
      </w:r>
      <w:r w:rsidR="00A5504C" w:rsidRPr="0027314E">
        <w:rPr>
          <w:rFonts w:cs="Arial"/>
          <w:spacing w:val="-3"/>
          <w:szCs w:val="19"/>
        </w:rPr>
        <w:t>USD</w:t>
      </w:r>
      <w:r w:rsidR="00657AC6" w:rsidRPr="0027314E">
        <w:rPr>
          <w:rFonts w:cs="Arial"/>
          <w:szCs w:val="19"/>
        </w:rPr>
        <w:t>.</w:t>
      </w:r>
    </w:p>
    <w:p w:rsidR="00277A82" w:rsidRPr="005B60E0" w:rsidRDefault="0027314E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zCs w:val="19"/>
        </w:rPr>
      </w:pPr>
      <w:r w:rsidRPr="005B60E0">
        <w:rPr>
          <w:color w:val="222222"/>
          <w:szCs w:val="19"/>
          <w:shd w:val="clear" w:color="auto" w:fill="FDFDFD"/>
        </w:rPr>
        <w:t xml:space="preserve">Eksport wyrażony w euro wyniósł </w:t>
      </w:r>
      <w:r w:rsidRPr="005B60E0">
        <w:rPr>
          <w:rFonts w:cs="Arial"/>
          <w:bCs/>
          <w:color w:val="000000"/>
          <w:szCs w:val="19"/>
        </w:rPr>
        <w:t>173,6</w:t>
      </w:r>
      <w:r w:rsidRPr="005B60E0">
        <w:rPr>
          <w:color w:val="222222"/>
          <w:szCs w:val="19"/>
          <w:shd w:val="clear" w:color="auto" w:fill="FDFDFD"/>
        </w:rPr>
        <w:t xml:space="preserve"> mld EUR, a import </w:t>
      </w:r>
      <w:r w:rsidRPr="005B60E0">
        <w:rPr>
          <w:rFonts w:cs="Arial"/>
          <w:bCs/>
          <w:color w:val="000000"/>
          <w:szCs w:val="19"/>
        </w:rPr>
        <w:t xml:space="preserve">172,8 </w:t>
      </w:r>
      <w:r w:rsidRPr="005B60E0">
        <w:rPr>
          <w:color w:val="222222"/>
          <w:szCs w:val="19"/>
          <w:shd w:val="clear" w:color="auto" w:fill="FDFDFD"/>
        </w:rPr>
        <w:t>mld EUR</w:t>
      </w:r>
      <w:r w:rsidRPr="005B60E0">
        <w:rPr>
          <w:rFonts w:cs="Arial"/>
          <w:szCs w:val="19"/>
        </w:rPr>
        <w:t xml:space="preserve"> </w:t>
      </w:r>
      <w:r w:rsidR="00A1647A" w:rsidRPr="005B60E0">
        <w:rPr>
          <w:rFonts w:cs="Arial"/>
          <w:szCs w:val="19"/>
        </w:rPr>
        <w:t>(</w:t>
      </w:r>
      <w:r w:rsidR="00682774" w:rsidRPr="005B60E0">
        <w:rPr>
          <w:rFonts w:cs="Arial"/>
          <w:szCs w:val="19"/>
        </w:rPr>
        <w:t>wzr</w:t>
      </w:r>
      <w:r w:rsidR="00A1647A" w:rsidRPr="005B60E0">
        <w:rPr>
          <w:rFonts w:cs="Arial"/>
          <w:szCs w:val="19"/>
        </w:rPr>
        <w:t>ost</w:t>
      </w:r>
      <w:r w:rsidR="00682774" w:rsidRPr="005B60E0">
        <w:rPr>
          <w:rFonts w:cs="Arial"/>
          <w:szCs w:val="19"/>
        </w:rPr>
        <w:t> w eksporcie o </w:t>
      </w:r>
      <w:r w:rsidRPr="005B60E0">
        <w:rPr>
          <w:rFonts w:cs="Arial"/>
          <w:szCs w:val="19"/>
        </w:rPr>
        <w:t>5,0</w:t>
      </w:r>
      <w:r w:rsidR="00277A82" w:rsidRPr="005B60E0">
        <w:rPr>
          <w:rFonts w:cs="Arial"/>
          <w:szCs w:val="19"/>
        </w:rPr>
        <w:t xml:space="preserve">%, a w imporcie o </w:t>
      </w:r>
      <w:r w:rsidR="00B10B0A" w:rsidRPr="005B60E0">
        <w:rPr>
          <w:rFonts w:cs="Arial"/>
          <w:szCs w:val="19"/>
        </w:rPr>
        <w:t>2,</w:t>
      </w:r>
      <w:r w:rsidR="00125191" w:rsidRPr="005B60E0">
        <w:rPr>
          <w:rFonts w:cs="Arial"/>
          <w:szCs w:val="19"/>
        </w:rPr>
        <w:t>7</w:t>
      </w:r>
      <w:r w:rsidR="00A1647A" w:rsidRPr="005B60E0">
        <w:rPr>
          <w:rFonts w:cs="Arial"/>
          <w:szCs w:val="19"/>
        </w:rPr>
        <w:t>%)</w:t>
      </w:r>
      <w:r w:rsidR="00277A82" w:rsidRPr="005B60E0">
        <w:rPr>
          <w:rFonts w:cs="Arial"/>
          <w:szCs w:val="19"/>
        </w:rPr>
        <w:t xml:space="preserve">. </w:t>
      </w:r>
      <w:r w:rsidR="00125191" w:rsidRPr="005B60E0">
        <w:rPr>
          <w:rFonts w:cs="Arial"/>
          <w:szCs w:val="19"/>
        </w:rPr>
        <w:t xml:space="preserve">Dodatnie </w:t>
      </w:r>
      <w:r w:rsidR="00277A82" w:rsidRPr="005B60E0">
        <w:rPr>
          <w:rFonts w:cs="Arial"/>
          <w:szCs w:val="19"/>
        </w:rPr>
        <w:t xml:space="preserve">saldo </w:t>
      </w:r>
      <w:r w:rsidR="00EB4BA2" w:rsidRPr="005B60E0">
        <w:rPr>
          <w:rFonts w:cs="Arial"/>
          <w:szCs w:val="19"/>
        </w:rPr>
        <w:t>wyniosło</w:t>
      </w:r>
      <w:r w:rsidR="00D54D58" w:rsidRPr="005B60E0">
        <w:rPr>
          <w:rFonts w:cs="Arial"/>
          <w:szCs w:val="19"/>
        </w:rPr>
        <w:t xml:space="preserve"> </w:t>
      </w:r>
      <w:r w:rsidR="00385406" w:rsidRPr="005B60E0">
        <w:rPr>
          <w:rFonts w:cs="Arial"/>
          <w:szCs w:val="19"/>
        </w:rPr>
        <w:t>0,</w:t>
      </w:r>
      <w:r w:rsidRPr="005B60E0">
        <w:rPr>
          <w:rFonts w:cs="Arial"/>
          <w:szCs w:val="19"/>
        </w:rPr>
        <w:t>8</w:t>
      </w:r>
      <w:r w:rsidR="00277A82" w:rsidRPr="005B60E0">
        <w:rPr>
          <w:rFonts w:cs="Arial"/>
          <w:bCs/>
          <w:color w:val="000000"/>
          <w:szCs w:val="19"/>
        </w:rPr>
        <w:t xml:space="preserve"> </w:t>
      </w:r>
      <w:r w:rsidR="00277A82" w:rsidRPr="005B60E0">
        <w:t>ml</w:t>
      </w:r>
      <w:r w:rsidR="00A844E6" w:rsidRPr="005B60E0">
        <w:t>d</w:t>
      </w:r>
      <w:r w:rsidR="00EB4BA2" w:rsidRPr="005B60E0">
        <w:t xml:space="preserve"> </w:t>
      </w:r>
      <w:r w:rsidR="00277A82" w:rsidRPr="005B60E0">
        <w:t>EUR</w:t>
      </w:r>
      <w:r w:rsidR="00D54D58" w:rsidRPr="005B60E0">
        <w:t xml:space="preserve">, a </w:t>
      </w:r>
      <w:r w:rsidR="00D54D58" w:rsidRPr="005B60E0">
        <w:rPr>
          <w:rFonts w:cs="Arial"/>
          <w:spacing w:val="-3"/>
          <w:szCs w:val="19"/>
        </w:rPr>
        <w:t>w analogicznym okresie ub. r</w:t>
      </w:r>
      <w:r w:rsidR="007E035E" w:rsidRPr="005B60E0">
        <w:rPr>
          <w:rFonts w:cs="Arial"/>
          <w:spacing w:val="-3"/>
          <w:szCs w:val="19"/>
        </w:rPr>
        <w:t>.</w:t>
      </w:r>
      <w:r w:rsidR="00D54D58" w:rsidRPr="005B60E0">
        <w:rPr>
          <w:rFonts w:cs="Arial"/>
          <w:spacing w:val="-3"/>
          <w:szCs w:val="19"/>
        </w:rPr>
        <w:t xml:space="preserve"> wyniosło </w:t>
      </w:r>
      <w:r w:rsidR="00B22A2B" w:rsidRPr="005B60E0">
        <w:rPr>
          <w:rFonts w:cs="Arial"/>
          <w:spacing w:val="-3"/>
          <w:szCs w:val="19"/>
        </w:rPr>
        <w:t xml:space="preserve">minus </w:t>
      </w:r>
      <w:r w:rsidR="00125191" w:rsidRPr="005B60E0">
        <w:rPr>
          <w:rFonts w:cs="Arial"/>
          <w:spacing w:val="-3"/>
          <w:szCs w:val="19"/>
        </w:rPr>
        <w:t>2</w:t>
      </w:r>
      <w:r w:rsidR="003A6F6A" w:rsidRPr="005B60E0">
        <w:rPr>
          <w:rFonts w:cs="Arial"/>
          <w:spacing w:val="-3"/>
          <w:szCs w:val="19"/>
        </w:rPr>
        <w:t>,</w:t>
      </w:r>
      <w:r w:rsidR="000C1304" w:rsidRPr="005B60E0">
        <w:rPr>
          <w:rFonts w:cs="Arial"/>
          <w:spacing w:val="-3"/>
          <w:szCs w:val="19"/>
        </w:rPr>
        <w:t>9</w:t>
      </w:r>
      <w:r w:rsidR="00D54D58" w:rsidRPr="005B60E0">
        <w:rPr>
          <w:rFonts w:cs="Arial"/>
          <w:spacing w:val="-3"/>
          <w:szCs w:val="19"/>
        </w:rPr>
        <w:t xml:space="preserve"> mld EUR</w:t>
      </w:r>
      <w:r w:rsidR="00277A82" w:rsidRPr="005B60E0">
        <w:rPr>
          <w:rFonts w:cs="Arial"/>
          <w:szCs w:val="19"/>
        </w:rPr>
        <w:t>.</w:t>
      </w:r>
    </w:p>
    <w:p w:rsidR="007324AA" w:rsidRDefault="007324AA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zCs w:val="19"/>
        </w:rPr>
      </w:pPr>
    </w:p>
    <w:p w:rsidR="00FD5DDE" w:rsidRDefault="00FD5DDE" w:rsidP="00F802BE">
      <w:pPr>
        <w:pStyle w:val="Nagwek1"/>
      </w:pPr>
    </w:p>
    <w:p w:rsidR="00F802BE" w:rsidRPr="003C6B82" w:rsidRDefault="00F802BE" w:rsidP="00F802BE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5F87F1FD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Default="00886923" w:rsidP="00F802BE">
                            <w:pPr>
                              <w:pStyle w:val="tekstzboku"/>
                            </w:pPr>
                          </w:p>
                          <w:p w:rsidR="00886923" w:rsidRPr="00074DD8" w:rsidRDefault="00886923" w:rsidP="00F802BE">
                            <w:pPr>
                              <w:pStyle w:val="tekstzboku"/>
                            </w:pPr>
                          </w:p>
                          <w:p w:rsidR="00886923" w:rsidRPr="00D616D2" w:rsidRDefault="00886923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C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Default="00886923" w:rsidP="00F802BE">
                      <w:pPr>
                        <w:pStyle w:val="tekstzboku"/>
                      </w:pPr>
                    </w:p>
                    <w:p w:rsidR="00886923" w:rsidRPr="00074DD8" w:rsidRDefault="00886923" w:rsidP="00F802BE">
                      <w:pPr>
                        <w:pStyle w:val="tekstzboku"/>
                      </w:pPr>
                    </w:p>
                    <w:p w:rsidR="00886923" w:rsidRPr="00D616D2" w:rsidRDefault="00886923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1F44" w:rsidRPr="003C6B82">
        <w:t>Obroty t</w:t>
      </w:r>
      <w:r w:rsidR="00932408" w:rsidRPr="003C6B82">
        <w:t xml:space="preserve">owarowe </w:t>
      </w:r>
      <w:r w:rsidR="003C6B82" w:rsidRPr="003C6B82">
        <w:t xml:space="preserve">ogółem i </w:t>
      </w:r>
      <w:r w:rsidR="00932408" w:rsidRPr="003C6B82">
        <w:t>według</w:t>
      </w:r>
      <w:r w:rsidR="003C6B82" w:rsidRPr="003C6B82">
        <w:t xml:space="preserve"> grup krajów</w:t>
      </w:r>
    </w:p>
    <w:p w:rsidR="00F802BE" w:rsidRDefault="003C6B82" w:rsidP="00F802BE">
      <w:pPr>
        <w:rPr>
          <w:shd w:val="clear" w:color="auto" w:fill="FFFFFF"/>
        </w:rPr>
      </w:pPr>
      <w:r>
        <w:rPr>
          <w:rFonts w:cs="Arial"/>
          <w:spacing w:val="-3"/>
        </w:rPr>
        <w:t>Największy u</w:t>
      </w:r>
      <w:r w:rsidRPr="003C6B82">
        <w:rPr>
          <w:rFonts w:cs="Arial"/>
          <w:spacing w:val="-3"/>
        </w:rPr>
        <w:t xml:space="preserve">dział </w:t>
      </w:r>
      <w:r w:rsidR="00992926" w:rsidRPr="003C6B82">
        <w:rPr>
          <w:rFonts w:cs="Arial"/>
          <w:spacing w:val="-3"/>
        </w:rPr>
        <w:t>w eksporcie ogółem</w:t>
      </w:r>
      <w:r w:rsidR="00992926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 xml:space="preserve">Polska ma z </w:t>
      </w:r>
      <w:r w:rsidRPr="003C6B82">
        <w:rPr>
          <w:rFonts w:cs="Arial"/>
          <w:spacing w:val="-3"/>
        </w:rPr>
        <w:t>kraj</w:t>
      </w:r>
      <w:r>
        <w:rPr>
          <w:rFonts w:cs="Arial"/>
          <w:spacing w:val="-3"/>
        </w:rPr>
        <w:t>ami</w:t>
      </w:r>
      <w:r w:rsidRPr="003C6B82">
        <w:rPr>
          <w:rFonts w:cs="Arial"/>
          <w:spacing w:val="-3"/>
        </w:rPr>
        <w:t xml:space="preserve"> rozwinięty</w:t>
      </w:r>
      <w:r>
        <w:rPr>
          <w:rFonts w:cs="Arial"/>
          <w:spacing w:val="-3"/>
        </w:rPr>
        <w:t>mi</w:t>
      </w:r>
      <w:r w:rsidR="00992926">
        <w:rPr>
          <w:rFonts w:cs="Arial"/>
          <w:spacing w:val="-3"/>
        </w:rPr>
        <w:t xml:space="preserve"> </w:t>
      </w:r>
      <w:r w:rsidR="00992926" w:rsidRPr="003C6B82">
        <w:rPr>
          <w:rFonts w:cs="Arial"/>
        </w:rPr>
        <w:t>–</w:t>
      </w:r>
      <w:r w:rsidR="00992926">
        <w:rPr>
          <w:rFonts w:cs="Arial"/>
          <w:spacing w:val="-3"/>
        </w:rPr>
        <w:t xml:space="preserve"> </w:t>
      </w:r>
      <w:r w:rsidR="00385406">
        <w:rPr>
          <w:rFonts w:cs="Arial"/>
          <w:spacing w:val="-3"/>
        </w:rPr>
        <w:t>8</w:t>
      </w:r>
      <w:r w:rsidR="00CC587A">
        <w:rPr>
          <w:rFonts w:cs="Arial"/>
          <w:spacing w:val="-3"/>
        </w:rPr>
        <w:t>6</w:t>
      </w:r>
      <w:r w:rsidR="00385406">
        <w:rPr>
          <w:rFonts w:cs="Arial"/>
          <w:spacing w:val="-3"/>
        </w:rPr>
        <w:t>,</w:t>
      </w:r>
      <w:r w:rsidR="00257543">
        <w:rPr>
          <w:rFonts w:cs="Arial"/>
          <w:spacing w:val="-3"/>
        </w:rPr>
        <w:t>8</w:t>
      </w:r>
      <w:r w:rsidRPr="003C6B82">
        <w:rPr>
          <w:rFonts w:cs="Arial"/>
          <w:spacing w:val="-3"/>
        </w:rPr>
        <w:t>%</w:t>
      </w:r>
      <w:r w:rsidR="00992926">
        <w:rPr>
          <w:rFonts w:cs="Arial"/>
          <w:spacing w:val="-3"/>
        </w:rPr>
        <w:t xml:space="preserve"> </w:t>
      </w:r>
      <w:r w:rsidRPr="003C6B82">
        <w:rPr>
          <w:rFonts w:cs="Arial"/>
          <w:spacing w:val="-3"/>
        </w:rPr>
        <w:t>(w tym UE</w:t>
      </w:r>
      <w:r w:rsidR="00992926">
        <w:rPr>
          <w:rFonts w:cs="Arial"/>
          <w:spacing w:val="-3"/>
        </w:rPr>
        <w:t> </w:t>
      </w:r>
      <w:r w:rsidR="00257543">
        <w:rPr>
          <w:rFonts w:cs="Arial"/>
          <w:spacing w:val="-3"/>
        </w:rPr>
        <w:t>79,</w:t>
      </w:r>
      <w:r w:rsidR="00400032">
        <w:rPr>
          <w:rFonts w:cs="Arial"/>
          <w:spacing w:val="-3"/>
        </w:rPr>
        <w:t>9</w:t>
      </w:r>
      <w:r w:rsidRPr="003C6B82">
        <w:rPr>
          <w:rFonts w:cs="Arial"/>
          <w:spacing w:val="-3"/>
        </w:rPr>
        <w:t xml:space="preserve">%), a w imporcie </w:t>
      </w:r>
      <w:r w:rsidRPr="003C6B82">
        <w:rPr>
          <w:rFonts w:cs="Arial"/>
        </w:rPr>
        <w:t xml:space="preserve">– </w:t>
      </w:r>
      <w:r w:rsidR="00F600D4">
        <w:rPr>
          <w:rFonts w:cs="Arial"/>
          <w:spacing w:val="-3"/>
        </w:rPr>
        <w:t>6</w:t>
      </w:r>
      <w:r w:rsidR="00257543">
        <w:rPr>
          <w:rFonts w:cs="Arial"/>
          <w:spacing w:val="-3"/>
        </w:rPr>
        <w:t>5,6</w:t>
      </w:r>
      <w:r w:rsidR="007D6BC4">
        <w:rPr>
          <w:rFonts w:cs="Arial"/>
          <w:spacing w:val="-3"/>
        </w:rPr>
        <w:t xml:space="preserve">% (w tym UE </w:t>
      </w:r>
      <w:r w:rsidR="00F600D4">
        <w:rPr>
          <w:rFonts w:cs="Arial"/>
          <w:spacing w:val="-3"/>
        </w:rPr>
        <w:t>5</w:t>
      </w:r>
      <w:r w:rsidR="00257543">
        <w:rPr>
          <w:rFonts w:cs="Arial"/>
          <w:spacing w:val="-3"/>
        </w:rPr>
        <w:t>7,9</w:t>
      </w:r>
      <w:r w:rsidRPr="003C6B82">
        <w:rPr>
          <w:rFonts w:cs="Arial"/>
          <w:spacing w:val="-3"/>
        </w:rPr>
        <w:t xml:space="preserve">%), wobec odpowiednio </w:t>
      </w:r>
      <w:r w:rsidR="00832FBE">
        <w:rPr>
          <w:rFonts w:cs="Arial"/>
          <w:spacing w:val="-3"/>
        </w:rPr>
        <w:t>8</w:t>
      </w:r>
      <w:r w:rsidR="00385406">
        <w:rPr>
          <w:rFonts w:cs="Arial"/>
          <w:spacing w:val="-3"/>
        </w:rPr>
        <w:t>7,</w:t>
      </w:r>
      <w:r w:rsidR="00CC587A">
        <w:rPr>
          <w:rFonts w:cs="Arial"/>
          <w:spacing w:val="-3"/>
        </w:rPr>
        <w:t>2</w:t>
      </w:r>
      <w:r w:rsidRPr="003C6B82">
        <w:rPr>
          <w:rFonts w:cs="Arial"/>
          <w:spacing w:val="-3"/>
        </w:rPr>
        <w:t xml:space="preserve">% (w tym UE </w:t>
      </w:r>
      <w:r w:rsidR="00F600D4">
        <w:rPr>
          <w:rFonts w:cs="Arial"/>
          <w:spacing w:val="-3"/>
        </w:rPr>
        <w:t>8</w:t>
      </w:r>
      <w:r w:rsidR="004F5D89">
        <w:rPr>
          <w:rFonts w:cs="Arial"/>
          <w:spacing w:val="-3"/>
        </w:rPr>
        <w:t>0</w:t>
      </w:r>
      <w:r w:rsidR="00F600D4">
        <w:rPr>
          <w:rFonts w:cs="Arial"/>
          <w:spacing w:val="-3"/>
        </w:rPr>
        <w:t>,</w:t>
      </w:r>
      <w:r w:rsidR="00CC587A">
        <w:rPr>
          <w:rFonts w:cs="Arial"/>
          <w:spacing w:val="-3"/>
        </w:rPr>
        <w:t>6</w:t>
      </w:r>
      <w:r w:rsidRPr="003C6B82">
        <w:rPr>
          <w:rFonts w:cs="Arial"/>
          <w:spacing w:val="-3"/>
        </w:rPr>
        <w:t>%) i</w:t>
      </w:r>
      <w:r w:rsidR="00992926">
        <w:rPr>
          <w:rFonts w:cs="Arial"/>
          <w:spacing w:val="-3"/>
        </w:rPr>
        <w:t> </w:t>
      </w:r>
      <w:r w:rsidR="00385406">
        <w:rPr>
          <w:rFonts w:cs="Arial"/>
          <w:spacing w:val="-3"/>
        </w:rPr>
        <w:t>6</w:t>
      </w:r>
      <w:r w:rsidR="00CC587A">
        <w:rPr>
          <w:rFonts w:cs="Arial"/>
          <w:spacing w:val="-3"/>
        </w:rPr>
        <w:t>6,</w:t>
      </w:r>
      <w:r w:rsidR="00257543">
        <w:rPr>
          <w:rFonts w:cs="Arial"/>
          <w:spacing w:val="-3"/>
        </w:rPr>
        <w:t>5</w:t>
      </w:r>
      <w:r w:rsidRPr="003C6B82">
        <w:rPr>
          <w:rFonts w:cs="Arial"/>
          <w:spacing w:val="-3"/>
        </w:rPr>
        <w:t xml:space="preserve">% (w tym UE </w:t>
      </w:r>
      <w:r w:rsidR="0032506F">
        <w:rPr>
          <w:rFonts w:cs="Arial"/>
          <w:spacing w:val="-3"/>
        </w:rPr>
        <w:t>59,</w:t>
      </w:r>
      <w:r w:rsidR="00257543">
        <w:rPr>
          <w:rFonts w:cs="Arial"/>
          <w:spacing w:val="-3"/>
        </w:rPr>
        <w:t>3</w:t>
      </w:r>
      <w:r w:rsidRPr="003C6B82">
        <w:rPr>
          <w:rFonts w:cs="Arial"/>
          <w:spacing w:val="-3"/>
        </w:rPr>
        <w:t xml:space="preserve">%) w analogicznym okresie </w:t>
      </w:r>
      <w:r w:rsidR="00832FBE">
        <w:rPr>
          <w:rFonts w:cs="Arial"/>
          <w:spacing w:val="-3"/>
        </w:rPr>
        <w:t>ub.</w:t>
      </w:r>
      <w:r w:rsidRPr="003C6B82">
        <w:rPr>
          <w:rFonts w:cs="Arial"/>
          <w:spacing w:val="-3"/>
        </w:rPr>
        <w:t xml:space="preserve"> roku</w:t>
      </w:r>
      <w:r w:rsidR="00F802BE" w:rsidRPr="003C6B82">
        <w:rPr>
          <w:shd w:val="clear" w:color="auto" w:fill="FFFFFF"/>
        </w:rPr>
        <w:t>.</w:t>
      </w:r>
      <w:r w:rsidR="008720A0">
        <w:rPr>
          <w:shd w:val="clear" w:color="auto" w:fill="FFFFFF"/>
        </w:rPr>
        <w:t xml:space="preserve"> Natomiast </w:t>
      </w:r>
      <w:r w:rsidR="00701D51">
        <w:rPr>
          <w:shd w:val="clear" w:color="auto" w:fill="FFFFFF"/>
        </w:rPr>
        <w:t xml:space="preserve">najmniejszy udział </w:t>
      </w:r>
      <w:r w:rsidR="00D626BB">
        <w:rPr>
          <w:shd w:val="clear" w:color="auto" w:fill="FFFFFF"/>
        </w:rPr>
        <w:t>odnotowano</w:t>
      </w:r>
      <w:r w:rsidR="00701D51">
        <w:rPr>
          <w:shd w:val="clear" w:color="auto" w:fill="FFFFFF"/>
        </w:rPr>
        <w:t xml:space="preserve"> z krajami </w:t>
      </w:r>
      <w:r w:rsidR="00701D51" w:rsidRPr="008720A0">
        <w:rPr>
          <w:rFonts w:cs="Arial"/>
          <w:spacing w:val="-3"/>
        </w:rPr>
        <w:t>Europy Środkowo-Wschodniej</w:t>
      </w:r>
      <w:r w:rsidR="00EA7416">
        <w:rPr>
          <w:rFonts w:cs="Arial"/>
          <w:spacing w:val="-3"/>
        </w:rPr>
        <w:t xml:space="preserve">, który </w:t>
      </w:r>
      <w:r w:rsidR="00701D51">
        <w:rPr>
          <w:rFonts w:cs="Arial"/>
          <w:spacing w:val="-3"/>
        </w:rPr>
        <w:t xml:space="preserve">w eksporcie ogółem wyniósł </w:t>
      </w:r>
      <w:r w:rsidR="00CC587A">
        <w:rPr>
          <w:rFonts w:cs="Arial"/>
          <w:spacing w:val="-3"/>
        </w:rPr>
        <w:t>6,0</w:t>
      </w:r>
      <w:r w:rsidR="00185BAA">
        <w:rPr>
          <w:rFonts w:cs="Arial"/>
          <w:spacing w:val="-3"/>
        </w:rPr>
        <w:t>%</w:t>
      </w:r>
      <w:r w:rsidR="00701D51">
        <w:rPr>
          <w:rFonts w:cs="Arial"/>
          <w:spacing w:val="-3"/>
        </w:rPr>
        <w:t>, a</w:t>
      </w:r>
      <w:r w:rsidR="00036E65">
        <w:rPr>
          <w:rFonts w:cs="Arial"/>
          <w:spacing w:val="-3"/>
        </w:rPr>
        <w:t> </w:t>
      </w:r>
      <w:r w:rsidR="00701D51">
        <w:rPr>
          <w:rFonts w:cs="Arial"/>
          <w:spacing w:val="-3"/>
        </w:rPr>
        <w:t>w</w:t>
      </w:r>
      <w:r w:rsidR="00036E65">
        <w:rPr>
          <w:rFonts w:cs="Arial"/>
          <w:spacing w:val="-3"/>
        </w:rPr>
        <w:t> </w:t>
      </w:r>
      <w:r w:rsidR="00701D51">
        <w:rPr>
          <w:rFonts w:cs="Arial"/>
          <w:spacing w:val="-3"/>
        </w:rPr>
        <w:t xml:space="preserve">imporcie </w:t>
      </w:r>
      <w:r w:rsidR="00CC587A">
        <w:rPr>
          <w:rFonts w:cs="Arial"/>
          <w:spacing w:val="-3"/>
        </w:rPr>
        <w:t>7,9</w:t>
      </w:r>
      <w:r w:rsidR="00185BAA">
        <w:rPr>
          <w:rFonts w:cs="Arial"/>
          <w:spacing w:val="-3"/>
        </w:rPr>
        <w:t>%</w:t>
      </w:r>
      <w:r w:rsidR="00701D51">
        <w:rPr>
          <w:rFonts w:cs="Arial"/>
          <w:spacing w:val="-3"/>
        </w:rPr>
        <w:t xml:space="preserve">, wobec odpowiednio </w:t>
      </w:r>
      <w:r w:rsidR="0008639F">
        <w:rPr>
          <w:rFonts w:cs="Arial"/>
          <w:spacing w:val="-3"/>
        </w:rPr>
        <w:t>5,</w:t>
      </w:r>
      <w:r w:rsidR="00CC587A">
        <w:rPr>
          <w:rFonts w:cs="Arial"/>
          <w:spacing w:val="-3"/>
        </w:rPr>
        <w:t>7</w:t>
      </w:r>
      <w:r w:rsidR="00185BAA">
        <w:rPr>
          <w:rFonts w:cs="Arial"/>
          <w:spacing w:val="-3"/>
        </w:rPr>
        <w:t xml:space="preserve">% i </w:t>
      </w:r>
      <w:r w:rsidR="00036E65">
        <w:rPr>
          <w:rFonts w:cs="Arial"/>
          <w:spacing w:val="-3"/>
        </w:rPr>
        <w:t>8,</w:t>
      </w:r>
      <w:r w:rsidR="00257543">
        <w:rPr>
          <w:rFonts w:cs="Arial"/>
          <w:spacing w:val="-3"/>
        </w:rPr>
        <w:t>8</w:t>
      </w:r>
      <w:r w:rsidR="00185BAA">
        <w:rPr>
          <w:rFonts w:cs="Arial"/>
          <w:spacing w:val="-3"/>
        </w:rPr>
        <w:t>%</w:t>
      </w:r>
      <w:r w:rsidR="00701D51">
        <w:rPr>
          <w:rFonts w:cs="Arial"/>
          <w:spacing w:val="-3"/>
        </w:rPr>
        <w:t xml:space="preserve"> </w:t>
      </w:r>
      <w:r w:rsidR="00036E65">
        <w:rPr>
          <w:rFonts w:cs="Arial"/>
          <w:spacing w:val="-3"/>
        </w:rPr>
        <w:t>w styczniu</w:t>
      </w:r>
      <w:r w:rsidR="009D3B83">
        <w:rPr>
          <w:rFonts w:cs="Arial"/>
          <w:spacing w:val="-3"/>
        </w:rPr>
        <w:t xml:space="preserve"> </w:t>
      </w:r>
      <w:r w:rsidR="00CC587A">
        <w:rPr>
          <w:rFonts w:cs="Arial"/>
          <w:spacing w:val="-3"/>
        </w:rPr>
        <w:t>–</w:t>
      </w:r>
      <w:r w:rsidR="009D3B83">
        <w:rPr>
          <w:rFonts w:cs="Arial"/>
          <w:spacing w:val="-3"/>
        </w:rPr>
        <w:t xml:space="preserve"> </w:t>
      </w:r>
      <w:r w:rsidR="00257543">
        <w:rPr>
          <w:rFonts w:cs="Arial"/>
          <w:spacing w:val="-3"/>
        </w:rPr>
        <w:t>wrześniu</w:t>
      </w:r>
      <w:r w:rsidR="00CC587A">
        <w:rPr>
          <w:rFonts w:cs="Arial"/>
          <w:spacing w:val="-3"/>
        </w:rPr>
        <w:t xml:space="preserve"> </w:t>
      </w:r>
      <w:r w:rsidR="00036E65">
        <w:rPr>
          <w:rFonts w:cs="Arial"/>
          <w:spacing w:val="-3"/>
        </w:rPr>
        <w:t>201</w:t>
      </w:r>
      <w:r w:rsidR="00F600D4">
        <w:rPr>
          <w:rFonts w:cs="Arial"/>
          <w:spacing w:val="-3"/>
        </w:rPr>
        <w:t>8</w:t>
      </w:r>
      <w:r w:rsidR="00036E65">
        <w:rPr>
          <w:rFonts w:cs="Arial"/>
          <w:spacing w:val="-3"/>
        </w:rPr>
        <w:t xml:space="preserve"> r.</w:t>
      </w:r>
    </w:p>
    <w:p w:rsidR="00345F7C" w:rsidRDefault="008720A0" w:rsidP="002D45CF">
      <w:pPr>
        <w:rPr>
          <w:rFonts w:cs="Arial"/>
          <w:spacing w:val="-3"/>
        </w:rPr>
      </w:pPr>
      <w:r w:rsidRPr="008720A0">
        <w:rPr>
          <w:rFonts w:cs="Arial"/>
          <w:spacing w:val="-3"/>
        </w:rPr>
        <w:t xml:space="preserve">Ujemne salda odnotowano z krajami rozwijającymi się – minus </w:t>
      </w:r>
      <w:r w:rsidR="00CC587A">
        <w:rPr>
          <w:rFonts w:cs="Arial"/>
          <w:spacing w:val="-3"/>
        </w:rPr>
        <w:t>1</w:t>
      </w:r>
      <w:r w:rsidR="00257543">
        <w:rPr>
          <w:rFonts w:cs="Arial"/>
          <w:spacing w:val="-3"/>
        </w:rPr>
        <w:t>43,7</w:t>
      </w:r>
      <w:r w:rsidR="00F70DA2">
        <w:rPr>
          <w:rFonts w:cs="Arial"/>
          <w:color w:val="000000"/>
        </w:rPr>
        <w:t xml:space="preserve"> </w:t>
      </w:r>
      <w:r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>
        <w:rPr>
          <w:rFonts w:cs="Arial"/>
          <w:spacing w:val="-3"/>
        </w:rPr>
        <w:t xml:space="preserve"> </w:t>
      </w:r>
      <w:r w:rsidR="00A52A97">
        <w:rPr>
          <w:rFonts w:cs="Arial"/>
          <w:spacing w:val="-3"/>
        </w:rPr>
        <w:t>PLN</w:t>
      </w:r>
      <w:r>
        <w:rPr>
          <w:rFonts w:cs="Arial"/>
          <w:spacing w:val="-3"/>
        </w:rPr>
        <w:t xml:space="preserve"> (min</w:t>
      </w:r>
      <w:r w:rsidRPr="008720A0">
        <w:rPr>
          <w:rFonts w:cs="Arial"/>
          <w:spacing w:val="-3"/>
        </w:rPr>
        <w:t>us </w:t>
      </w:r>
      <w:r w:rsidR="00CC587A">
        <w:rPr>
          <w:rFonts w:cs="Arial"/>
          <w:spacing w:val="-3"/>
        </w:rPr>
        <w:t>3</w:t>
      </w:r>
      <w:r w:rsidR="00257543">
        <w:rPr>
          <w:rFonts w:cs="Arial"/>
          <w:spacing w:val="-3"/>
        </w:rPr>
        <w:t>7</w:t>
      </w:r>
      <w:r w:rsidR="00CC587A">
        <w:rPr>
          <w:rFonts w:cs="Arial"/>
          <w:spacing w:val="-3"/>
        </w:rPr>
        <w:t>,</w:t>
      </w:r>
      <w:r w:rsidR="00257543">
        <w:rPr>
          <w:rFonts w:cs="Arial"/>
          <w:spacing w:val="-3"/>
        </w:rPr>
        <w:t>7</w:t>
      </w:r>
      <w:r w:rsidR="0008639F">
        <w:rPr>
          <w:rFonts w:cs="Arial"/>
          <w:spacing w:val="-3"/>
        </w:rPr>
        <w:t xml:space="preserve"> </w:t>
      </w:r>
      <w:r w:rsidRPr="008720A0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 USD, minus </w:t>
      </w:r>
      <w:r w:rsidR="00257543">
        <w:rPr>
          <w:rFonts w:cs="Arial"/>
          <w:spacing w:val="-3"/>
        </w:rPr>
        <w:t>33,5</w:t>
      </w:r>
      <w:r w:rsidRPr="008720A0">
        <w:rPr>
          <w:rFonts w:cs="Arial"/>
          <w:color w:val="000000"/>
        </w:rPr>
        <w:t xml:space="preserve"> </w:t>
      </w:r>
      <w:r w:rsidRPr="008720A0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 EUR) i z krajami Europy Środkowo-Wschodniej – minus </w:t>
      </w:r>
      <w:r w:rsidR="00F31D96">
        <w:rPr>
          <w:rFonts w:cs="Arial"/>
          <w:spacing w:val="-3"/>
        </w:rPr>
        <w:t>1</w:t>
      </w:r>
      <w:r w:rsidR="00257543">
        <w:rPr>
          <w:rFonts w:cs="Arial"/>
          <w:spacing w:val="-3"/>
        </w:rPr>
        <w:t>3</w:t>
      </w:r>
      <w:r w:rsidR="004F5D89">
        <w:rPr>
          <w:rFonts w:cs="Arial"/>
          <w:spacing w:val="-3"/>
        </w:rPr>
        <w:t>,</w:t>
      </w:r>
      <w:r w:rsidR="00257543">
        <w:rPr>
          <w:rFonts w:cs="Arial"/>
          <w:spacing w:val="-3"/>
        </w:rPr>
        <w:t>7</w:t>
      </w:r>
      <w:r w:rsidR="0008639F">
        <w:rPr>
          <w:rFonts w:cs="Arial"/>
          <w:spacing w:val="-3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</w:t>
      </w:r>
      <w:r w:rsidR="00A52A97">
        <w:rPr>
          <w:rFonts w:cs="Arial"/>
          <w:spacing w:val="-3"/>
        </w:rPr>
        <w:t>PLN</w:t>
      </w:r>
      <w:r w:rsidRPr="008720A0">
        <w:rPr>
          <w:rFonts w:cs="Arial"/>
          <w:spacing w:val="-3"/>
        </w:rPr>
        <w:t xml:space="preserve"> (minus </w:t>
      </w:r>
      <w:r w:rsidR="00257543">
        <w:rPr>
          <w:rFonts w:cs="Arial"/>
          <w:spacing w:val="-3"/>
        </w:rPr>
        <w:t>3,6</w:t>
      </w:r>
      <w:r w:rsidRPr="008720A0">
        <w:rPr>
          <w:rFonts w:cs="Arial"/>
          <w:color w:val="000000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USD, minus </w:t>
      </w:r>
      <w:r w:rsidR="00257543">
        <w:rPr>
          <w:rFonts w:cs="Arial"/>
          <w:spacing w:val="-3"/>
        </w:rPr>
        <w:t>3,</w:t>
      </w:r>
      <w:r w:rsidR="00A1510C">
        <w:rPr>
          <w:rFonts w:cs="Arial"/>
          <w:spacing w:val="-3"/>
        </w:rPr>
        <w:t>2</w:t>
      </w:r>
      <w:r w:rsidRPr="008720A0">
        <w:rPr>
          <w:rFonts w:cs="Arial"/>
          <w:color w:val="000000"/>
        </w:rPr>
        <w:t xml:space="preserve"> </w:t>
      </w:r>
      <w:r w:rsidR="00FC0B7D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EUR). Dodatnie saldo uzyskano w obrotach z  krajami rozwiniętymi </w:t>
      </w:r>
      <w:r w:rsidR="00045AE7">
        <w:rPr>
          <w:rFonts w:cs="Arial"/>
          <w:color w:val="000000"/>
        </w:rPr>
        <w:t>1</w:t>
      </w:r>
      <w:r w:rsidR="00257543">
        <w:rPr>
          <w:rFonts w:cs="Arial"/>
          <w:color w:val="000000"/>
        </w:rPr>
        <w:t>61,1</w:t>
      </w:r>
      <w:r w:rsidRPr="008720A0">
        <w:rPr>
          <w:rFonts w:cs="Arial"/>
          <w:spacing w:val="-3"/>
        </w:rPr>
        <w:t xml:space="preserve"> 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 </w:t>
      </w:r>
      <w:r w:rsidR="00A52A97">
        <w:rPr>
          <w:rFonts w:cs="Arial"/>
          <w:spacing w:val="-3"/>
        </w:rPr>
        <w:t>PLN</w:t>
      </w:r>
      <w:r w:rsidRPr="008720A0">
        <w:rPr>
          <w:rFonts w:cs="Arial"/>
          <w:spacing w:val="-3"/>
        </w:rPr>
        <w:t xml:space="preserve"> (</w:t>
      </w:r>
      <w:r w:rsidR="00257543">
        <w:rPr>
          <w:rFonts w:cs="Arial"/>
          <w:spacing w:val="-3"/>
        </w:rPr>
        <w:t>42,3</w:t>
      </w:r>
      <w:r w:rsidRPr="008720A0">
        <w:rPr>
          <w:rFonts w:cs="Arial"/>
          <w:color w:val="000000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USD, </w:t>
      </w:r>
      <w:r w:rsidR="00A1510C">
        <w:rPr>
          <w:rFonts w:cs="Arial"/>
          <w:spacing w:val="-3"/>
        </w:rPr>
        <w:t>3</w:t>
      </w:r>
      <w:r w:rsidR="00257543">
        <w:rPr>
          <w:rFonts w:cs="Arial"/>
          <w:spacing w:val="-3"/>
        </w:rPr>
        <w:t>7</w:t>
      </w:r>
      <w:r w:rsidR="0027447B">
        <w:rPr>
          <w:rFonts w:cs="Arial"/>
          <w:spacing w:val="-3"/>
        </w:rPr>
        <w:t>,</w:t>
      </w:r>
      <w:r w:rsidR="00CC587A">
        <w:rPr>
          <w:rFonts w:cs="Arial"/>
          <w:spacing w:val="-3"/>
        </w:rPr>
        <w:t>5</w:t>
      </w:r>
      <w:r w:rsidRPr="008720A0">
        <w:rPr>
          <w:rFonts w:cs="Arial"/>
          <w:spacing w:val="-3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EUR),</w:t>
      </w:r>
      <w:r>
        <w:rPr>
          <w:rFonts w:cs="Arial"/>
          <w:spacing w:val="-3"/>
        </w:rPr>
        <w:t xml:space="preserve"> </w:t>
      </w:r>
      <w:r w:rsidRPr="008720A0">
        <w:rPr>
          <w:rFonts w:cs="Arial"/>
          <w:spacing w:val="-3"/>
        </w:rPr>
        <w:t xml:space="preserve">w tym z krajami UE saldo osiągnęło poziom </w:t>
      </w:r>
      <w:r w:rsidR="00045AE7">
        <w:rPr>
          <w:rFonts w:cs="Arial"/>
          <w:color w:val="000000"/>
        </w:rPr>
        <w:t>1</w:t>
      </w:r>
      <w:r w:rsidR="00257543">
        <w:rPr>
          <w:rFonts w:cs="Arial"/>
          <w:color w:val="000000"/>
        </w:rPr>
        <w:t>65,8</w:t>
      </w:r>
      <w:r w:rsidRPr="008720A0">
        <w:rPr>
          <w:rFonts w:cs="Arial"/>
          <w:color w:val="000000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</w:t>
      </w:r>
      <w:r w:rsidR="00A52A97">
        <w:rPr>
          <w:rFonts w:cs="Arial"/>
          <w:spacing w:val="-3"/>
        </w:rPr>
        <w:t>PLN</w:t>
      </w:r>
      <w:r w:rsidRPr="008720A0">
        <w:rPr>
          <w:rFonts w:cs="Arial"/>
          <w:spacing w:val="-3"/>
        </w:rPr>
        <w:t xml:space="preserve"> (</w:t>
      </w:r>
      <w:r w:rsidR="00257543">
        <w:rPr>
          <w:rFonts w:cs="Arial"/>
          <w:spacing w:val="-3"/>
        </w:rPr>
        <w:t>4</w:t>
      </w:r>
      <w:r w:rsidR="00CC587A">
        <w:rPr>
          <w:rFonts w:cs="Arial"/>
          <w:spacing w:val="-3"/>
        </w:rPr>
        <w:t>3</w:t>
      </w:r>
      <w:r w:rsidR="0081655E">
        <w:rPr>
          <w:rFonts w:cs="Arial"/>
          <w:spacing w:val="-3"/>
        </w:rPr>
        <w:t>,</w:t>
      </w:r>
      <w:r w:rsidR="00257543">
        <w:rPr>
          <w:rFonts w:cs="Arial"/>
          <w:spacing w:val="-3"/>
        </w:rPr>
        <w:t>5</w:t>
      </w:r>
      <w:r w:rsidR="00CC587A">
        <w:rPr>
          <w:rFonts w:cs="Arial"/>
          <w:spacing w:val="-3"/>
        </w:rPr>
        <w:t xml:space="preserve"> </w:t>
      </w:r>
      <w:r w:rsidRPr="008720A0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 USD, </w:t>
      </w:r>
      <w:r w:rsidR="00CC587A">
        <w:rPr>
          <w:rFonts w:cs="Arial"/>
          <w:spacing w:val="-3"/>
        </w:rPr>
        <w:t>3</w:t>
      </w:r>
      <w:r w:rsidR="00257543">
        <w:rPr>
          <w:rFonts w:cs="Arial"/>
          <w:spacing w:val="-3"/>
        </w:rPr>
        <w:t>8</w:t>
      </w:r>
      <w:r w:rsidR="00CC587A">
        <w:rPr>
          <w:rFonts w:cs="Arial"/>
          <w:spacing w:val="-3"/>
        </w:rPr>
        <w:t>,6</w:t>
      </w:r>
      <w:r w:rsidRPr="008720A0">
        <w:rPr>
          <w:rFonts w:cs="Arial"/>
          <w:color w:val="000000"/>
        </w:rPr>
        <w:t> </w:t>
      </w:r>
      <w:r w:rsidRPr="008720A0">
        <w:rPr>
          <w:rFonts w:cs="Arial"/>
        </w:rPr>
        <w:t>ml</w:t>
      </w:r>
      <w:r w:rsidR="00F70DA2">
        <w:rPr>
          <w:rFonts w:cs="Arial"/>
        </w:rPr>
        <w:t>d</w:t>
      </w:r>
      <w:r w:rsidRPr="008720A0">
        <w:rPr>
          <w:rFonts w:cs="Arial"/>
        </w:rPr>
        <w:t> EUR</w:t>
      </w:r>
      <w:r w:rsidRPr="008720A0">
        <w:rPr>
          <w:rFonts w:cs="Arial"/>
          <w:spacing w:val="-3"/>
        </w:rPr>
        <w:t>).</w:t>
      </w:r>
    </w:p>
    <w:p w:rsidR="00FD5DDE" w:rsidRDefault="00FD5DDE" w:rsidP="002D45CF">
      <w:pPr>
        <w:rPr>
          <w:rFonts w:cs="Arial"/>
          <w:spacing w:val="-3"/>
        </w:rPr>
      </w:pPr>
    </w:p>
    <w:p w:rsidR="00FD5DDE" w:rsidRDefault="00FD5DDE" w:rsidP="002D45CF">
      <w:pPr>
        <w:rPr>
          <w:rFonts w:cs="Arial"/>
          <w:spacing w:val="-3"/>
        </w:rPr>
      </w:pPr>
    </w:p>
    <w:p w:rsidR="0032506F" w:rsidRDefault="0032506F" w:rsidP="002D45CF">
      <w:pPr>
        <w:rPr>
          <w:rFonts w:cs="Arial"/>
          <w:b/>
          <w:spacing w:val="-3"/>
          <w:sz w:val="18"/>
          <w:szCs w:val="18"/>
        </w:rPr>
      </w:pPr>
    </w:p>
    <w:p w:rsidR="00585385" w:rsidRPr="00C30406" w:rsidRDefault="00C30406" w:rsidP="002D45CF">
      <w:pPr>
        <w:rPr>
          <w:rFonts w:cs="Arial"/>
          <w:b/>
          <w:spacing w:val="-3"/>
          <w:sz w:val="18"/>
          <w:szCs w:val="18"/>
        </w:rPr>
      </w:pPr>
      <w:r w:rsidRPr="00C30406">
        <w:rPr>
          <w:rFonts w:cs="Arial"/>
          <w:b/>
          <w:spacing w:val="-3"/>
          <w:sz w:val="18"/>
          <w:szCs w:val="18"/>
        </w:rPr>
        <w:lastRenderedPageBreak/>
        <w:t xml:space="preserve">Tablica 1. </w:t>
      </w:r>
      <w:r>
        <w:rPr>
          <w:rFonts w:cs="Arial"/>
          <w:b/>
          <w:spacing w:val="-3"/>
          <w:sz w:val="18"/>
          <w:szCs w:val="18"/>
        </w:rPr>
        <w:t>Obroty towarowe ogółem i według grup krajów</w:t>
      </w:r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726"/>
        <w:gridCol w:w="717"/>
        <w:gridCol w:w="717"/>
        <w:gridCol w:w="717"/>
        <w:gridCol w:w="666"/>
        <w:gridCol w:w="656"/>
        <w:gridCol w:w="648"/>
      </w:tblGrid>
      <w:tr w:rsidR="0043023F" w:rsidRPr="00673305" w:rsidTr="00FE08D1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27314E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="003457C3">
              <w:rPr>
                <w:rFonts w:cs="Arial"/>
                <w:sz w:val="16"/>
                <w:szCs w:val="16"/>
              </w:rPr>
              <w:t>I</w:t>
            </w:r>
            <w:r w:rsidR="0027314E">
              <w:rPr>
                <w:rFonts w:cs="Arial"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73305">
              <w:rPr>
                <w:rFonts w:cs="Arial"/>
                <w:sz w:val="16"/>
                <w:szCs w:val="16"/>
              </w:rPr>
              <w:t>201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56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018</w:t>
            </w:r>
          </w:p>
        </w:tc>
        <w:tc>
          <w:tcPr>
            <w:tcW w:w="648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</w:tr>
      <w:tr w:rsidR="0043023F" w:rsidRPr="00673305" w:rsidTr="00FE08D1">
        <w:trPr>
          <w:trHeight w:val="370"/>
        </w:trPr>
        <w:tc>
          <w:tcPr>
            <w:tcW w:w="2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6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 mld</w:t>
            </w:r>
          </w:p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27314E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="00133770">
              <w:rPr>
                <w:rFonts w:cs="Arial"/>
                <w:sz w:val="16"/>
                <w:szCs w:val="16"/>
              </w:rPr>
              <w:t>I</w:t>
            </w:r>
            <w:r w:rsidR="0027314E">
              <w:rPr>
                <w:rFonts w:cs="Arial"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73305">
              <w:rPr>
                <w:rFonts w:cs="Arial"/>
                <w:sz w:val="16"/>
                <w:szCs w:val="16"/>
              </w:rPr>
              <w:t>201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7330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27314E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="0033544C">
              <w:rPr>
                <w:rFonts w:cs="Arial"/>
                <w:sz w:val="16"/>
                <w:szCs w:val="16"/>
              </w:rPr>
              <w:t>I</w:t>
            </w:r>
            <w:r w:rsidR="0027314E">
              <w:rPr>
                <w:rFonts w:cs="Arial"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73305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43023F" w:rsidRPr="00673305" w:rsidTr="00FE08D1">
        <w:trPr>
          <w:trHeight w:val="380"/>
        </w:trPr>
        <w:tc>
          <w:tcPr>
            <w:tcW w:w="2552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556232" w:rsidRPr="00E33A76" w:rsidTr="00EB7EE9">
        <w:trPr>
          <w:trHeight w:val="342"/>
        </w:trPr>
        <w:tc>
          <w:tcPr>
            <w:tcW w:w="2552" w:type="dxa"/>
            <w:tcBorders>
              <w:top w:val="single" w:sz="12" w:space="0" w:color="001D77"/>
            </w:tcBorders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8" w:space="0" w:color="001D77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745,9</w:t>
            </w:r>
          </w:p>
        </w:tc>
        <w:tc>
          <w:tcPr>
            <w:tcW w:w="72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195,6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173,6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66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5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56232" w:rsidRDefault="00556232" w:rsidP="0027314E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8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556232" w:rsidRDefault="00556232" w:rsidP="0027314E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56232" w:rsidTr="00EB7EE9">
        <w:trPr>
          <w:trHeight w:val="352"/>
        </w:trPr>
        <w:tc>
          <w:tcPr>
            <w:tcW w:w="2552" w:type="dxa"/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647,8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86,8</w:t>
            </w:r>
          </w:p>
        </w:tc>
      </w:tr>
      <w:tr w:rsidR="00556232" w:rsidTr="00EB7EE9">
        <w:trPr>
          <w:trHeight w:val="342"/>
        </w:trPr>
        <w:tc>
          <w:tcPr>
            <w:tcW w:w="2552" w:type="dxa"/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595,6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56232" w:rsidRDefault="00556232" w:rsidP="004000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79,</w:t>
            </w:r>
            <w:r w:rsidR="0040003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556232" w:rsidTr="00EB7EE9">
        <w:trPr>
          <w:trHeight w:val="270"/>
        </w:trPr>
        <w:tc>
          <w:tcPr>
            <w:tcW w:w="2552" w:type="dxa"/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429,1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57,5</w:t>
            </w:r>
          </w:p>
        </w:tc>
      </w:tr>
      <w:tr w:rsidR="00556232" w:rsidTr="00EB7EE9">
        <w:trPr>
          <w:trHeight w:val="342"/>
        </w:trPr>
        <w:tc>
          <w:tcPr>
            <w:tcW w:w="2552" w:type="dxa"/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</w:t>
            </w:r>
          </w:p>
        </w:tc>
      </w:tr>
      <w:tr w:rsidR="00556232" w:rsidTr="00EB7EE9">
        <w:trPr>
          <w:trHeight w:val="308"/>
        </w:trPr>
        <w:tc>
          <w:tcPr>
            <w:tcW w:w="2552" w:type="dxa"/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</w:t>
            </w:r>
          </w:p>
        </w:tc>
      </w:tr>
      <w:tr w:rsidR="00556232" w:rsidRPr="00E33A76" w:rsidTr="00EB7EE9">
        <w:trPr>
          <w:trHeight w:val="342"/>
        </w:trPr>
        <w:tc>
          <w:tcPr>
            <w:tcW w:w="2552" w:type="dxa"/>
            <w:vAlign w:val="center"/>
          </w:tcPr>
          <w:p w:rsidR="00556232" w:rsidRPr="00A00ADB" w:rsidRDefault="00556232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pochodzenia)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742,3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172,8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56232" w:rsidRDefault="00556232" w:rsidP="0027314E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556232" w:rsidRDefault="00556232" w:rsidP="0027314E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56232" w:rsidTr="00EB7EE9">
        <w:trPr>
          <w:trHeight w:val="352"/>
        </w:trPr>
        <w:tc>
          <w:tcPr>
            <w:tcW w:w="2552" w:type="dxa"/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486,7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65,6</w:t>
            </w:r>
          </w:p>
        </w:tc>
      </w:tr>
      <w:tr w:rsidR="00556232" w:rsidTr="00EB7EE9">
        <w:trPr>
          <w:trHeight w:val="342"/>
        </w:trPr>
        <w:tc>
          <w:tcPr>
            <w:tcW w:w="2552" w:type="dxa"/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429,8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57,9</w:t>
            </w:r>
          </w:p>
        </w:tc>
      </w:tr>
      <w:tr w:rsidR="00556232" w:rsidTr="00EB7EE9">
        <w:trPr>
          <w:trHeight w:val="352"/>
        </w:trPr>
        <w:tc>
          <w:tcPr>
            <w:tcW w:w="2552" w:type="dxa"/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342,1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46,1</w:t>
            </w:r>
          </w:p>
        </w:tc>
      </w:tr>
      <w:tr w:rsidR="00556232" w:rsidTr="00EB7EE9">
        <w:trPr>
          <w:trHeight w:val="342"/>
        </w:trPr>
        <w:tc>
          <w:tcPr>
            <w:tcW w:w="2552" w:type="dxa"/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197,1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26,5</w:t>
            </w:r>
          </w:p>
        </w:tc>
      </w:tr>
      <w:tr w:rsidR="00556232" w:rsidTr="00EB7EE9">
        <w:trPr>
          <w:trHeight w:val="355"/>
        </w:trPr>
        <w:tc>
          <w:tcPr>
            <w:tcW w:w="2552" w:type="dxa"/>
            <w:vAlign w:val="center"/>
          </w:tcPr>
          <w:p w:rsidR="00556232" w:rsidRPr="00E33A76" w:rsidRDefault="00556232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56232" w:rsidRDefault="00556232" w:rsidP="00556232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7,9</w:t>
            </w:r>
          </w:p>
        </w:tc>
      </w:tr>
      <w:tr w:rsidR="00DE0CED" w:rsidRPr="00E33A76" w:rsidTr="00EB7EE9">
        <w:trPr>
          <w:trHeight w:val="342"/>
        </w:trPr>
        <w:tc>
          <w:tcPr>
            <w:tcW w:w="2552" w:type="dxa"/>
            <w:vAlign w:val="center"/>
          </w:tcPr>
          <w:p w:rsidR="00DE0CED" w:rsidRPr="00E33A76" w:rsidRDefault="00DE0CED" w:rsidP="00DE0CED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E0CED" w:rsidRPr="00E33A76" w:rsidTr="00EB7EE9">
        <w:trPr>
          <w:trHeight w:val="352"/>
        </w:trPr>
        <w:tc>
          <w:tcPr>
            <w:tcW w:w="2552" w:type="dxa"/>
            <w:vAlign w:val="center"/>
          </w:tcPr>
          <w:p w:rsidR="00DE0CED" w:rsidRPr="00E33A76" w:rsidRDefault="00DE0CED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161,1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E0CED" w:rsidRPr="00E33A76" w:rsidTr="00EB7EE9">
        <w:trPr>
          <w:trHeight w:val="342"/>
        </w:trPr>
        <w:tc>
          <w:tcPr>
            <w:tcW w:w="2552" w:type="dxa"/>
            <w:vAlign w:val="center"/>
          </w:tcPr>
          <w:p w:rsidR="00DE0CED" w:rsidRPr="00E33A76" w:rsidRDefault="00DE0CED" w:rsidP="00DE0CED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E0CED" w:rsidRPr="00E33A76" w:rsidTr="00EB7EE9">
        <w:trPr>
          <w:trHeight w:val="352"/>
        </w:trPr>
        <w:tc>
          <w:tcPr>
            <w:tcW w:w="2552" w:type="dxa"/>
            <w:vAlign w:val="center"/>
          </w:tcPr>
          <w:p w:rsidR="00DE0CED" w:rsidRPr="00E33A76" w:rsidRDefault="00DE0CED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E0CED" w:rsidRPr="00E33A76" w:rsidTr="00EB7EE9">
        <w:trPr>
          <w:trHeight w:val="342"/>
        </w:trPr>
        <w:tc>
          <w:tcPr>
            <w:tcW w:w="2552" w:type="dxa"/>
            <w:vAlign w:val="center"/>
          </w:tcPr>
          <w:p w:rsidR="00DE0CED" w:rsidRPr="00E33A76" w:rsidRDefault="00DE0CED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-143,7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-37,7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DE0CED" w:rsidRPr="00E33A76" w:rsidTr="00EB7EE9">
        <w:trPr>
          <w:trHeight w:val="258"/>
        </w:trPr>
        <w:tc>
          <w:tcPr>
            <w:tcW w:w="2552" w:type="dxa"/>
            <w:vAlign w:val="center"/>
          </w:tcPr>
          <w:p w:rsidR="00DE0CED" w:rsidRPr="00E33A76" w:rsidRDefault="00DE0CED" w:rsidP="00DE0CED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E33A76">
              <w:rPr>
                <w:rFonts w:cs="Arial"/>
                <w:sz w:val="16"/>
                <w:szCs w:val="16"/>
              </w:rPr>
              <w:t xml:space="preserve">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-13,7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-3,6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DE0CED" w:rsidRDefault="00DE0CED" w:rsidP="00DE0CED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CED" w:rsidRDefault="00DE0CED" w:rsidP="007354FD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</w:tbl>
    <w:p w:rsidR="008950C8" w:rsidRDefault="008950C8" w:rsidP="00345F7C">
      <w:pPr>
        <w:pStyle w:val="Nagwek1"/>
      </w:pPr>
    </w:p>
    <w:p w:rsidR="00345F7C" w:rsidRDefault="00D37998" w:rsidP="00345F7C">
      <w:pPr>
        <w:pStyle w:val="Nagwek1"/>
      </w:pPr>
      <w:r w:rsidRPr="00483835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7BF22207" wp14:editId="7D86B06F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Default="00886923" w:rsidP="00345F7C">
                            <w:pPr>
                              <w:pStyle w:val="tekstzboku"/>
                            </w:pPr>
                          </w:p>
                          <w:p w:rsidR="00886923" w:rsidRPr="00074DD8" w:rsidRDefault="00886923" w:rsidP="00345F7C">
                            <w:pPr>
                              <w:pStyle w:val="tekstzboku"/>
                            </w:pPr>
                          </w:p>
                          <w:p w:rsidR="00886923" w:rsidRPr="00D616D2" w:rsidRDefault="00886923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2207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Default="00886923" w:rsidP="00345F7C">
                      <w:pPr>
                        <w:pStyle w:val="tekstzboku"/>
                      </w:pPr>
                    </w:p>
                    <w:p w:rsidR="00886923" w:rsidRPr="00074DD8" w:rsidRDefault="00886923" w:rsidP="00345F7C">
                      <w:pPr>
                        <w:pStyle w:val="tekstzboku"/>
                      </w:pPr>
                    </w:p>
                    <w:p w:rsidR="00886923" w:rsidRPr="00D616D2" w:rsidRDefault="00886923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3C6B82">
        <w:t xml:space="preserve">Obroty towarowe według </w:t>
      </w:r>
      <w:r w:rsidR="00345F7C">
        <w:t>ważniejszych</w:t>
      </w:r>
      <w:r w:rsidR="00345F7C" w:rsidRPr="003C6B82">
        <w:t xml:space="preserve"> krajów</w:t>
      </w:r>
    </w:p>
    <w:p w:rsidR="00345F7C" w:rsidRPr="00951F4F" w:rsidRDefault="006835A6" w:rsidP="0036602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zCs w:val="19"/>
        </w:rPr>
      </w:pPr>
      <w:r>
        <w:rPr>
          <w:rFonts w:cs="Arial"/>
        </w:rPr>
        <w:t>Po trzech kwartałach</w:t>
      </w:r>
      <w:r w:rsidR="00E64E91">
        <w:rPr>
          <w:rFonts w:cs="Arial"/>
          <w:szCs w:val="19"/>
        </w:rPr>
        <w:t xml:space="preserve"> </w:t>
      </w:r>
      <w:r w:rsidR="00E64E91" w:rsidRPr="00951F4F">
        <w:rPr>
          <w:rFonts w:cs="Arial"/>
          <w:szCs w:val="19"/>
        </w:rPr>
        <w:t xml:space="preserve">br. </w:t>
      </w:r>
      <w:r w:rsidR="00345F7C" w:rsidRPr="00951F4F">
        <w:rPr>
          <w:rFonts w:cs="Arial"/>
          <w:szCs w:val="19"/>
        </w:rPr>
        <w:t xml:space="preserve">wśród głównych partnerów handlowych Polski </w:t>
      </w:r>
      <w:r w:rsidR="00D67CD3" w:rsidRPr="00951F4F">
        <w:rPr>
          <w:rFonts w:cs="Arial"/>
          <w:szCs w:val="19"/>
        </w:rPr>
        <w:t>o</w:t>
      </w:r>
      <w:r w:rsidR="00345F7C" w:rsidRPr="00951F4F">
        <w:rPr>
          <w:rFonts w:cs="Arial"/>
          <w:szCs w:val="19"/>
        </w:rPr>
        <w:t>dnotowano wzrost eksportu</w:t>
      </w:r>
      <w:r w:rsidR="00490CCF" w:rsidRPr="00951F4F">
        <w:rPr>
          <w:rFonts w:cs="Arial"/>
          <w:szCs w:val="19"/>
        </w:rPr>
        <w:t xml:space="preserve"> </w:t>
      </w:r>
      <w:r w:rsidR="009D0070">
        <w:rPr>
          <w:rFonts w:cs="Arial"/>
          <w:szCs w:val="19"/>
        </w:rPr>
        <w:t>do</w:t>
      </w:r>
      <w:r w:rsidR="00654F9B">
        <w:rPr>
          <w:rFonts w:cs="Arial"/>
          <w:szCs w:val="19"/>
        </w:rPr>
        <w:t xml:space="preserve"> </w:t>
      </w:r>
      <w:r w:rsidR="007C5BFA" w:rsidRPr="007720FC">
        <w:rPr>
          <w:rFonts w:cs="Arial"/>
          <w:szCs w:val="19"/>
        </w:rPr>
        <w:t>wszystkich krajów z pierwszej dziesiątki naszych partnerów</w:t>
      </w:r>
      <w:r w:rsidR="00951F4F" w:rsidRPr="00951F4F">
        <w:rPr>
          <w:rFonts w:cs="Arial"/>
          <w:szCs w:val="19"/>
        </w:rPr>
        <w:t xml:space="preserve">, a importu – </w:t>
      </w:r>
      <w:r w:rsidR="00E64E91" w:rsidRPr="00951F4F">
        <w:rPr>
          <w:rFonts w:cs="Arial"/>
          <w:szCs w:val="19"/>
        </w:rPr>
        <w:t>z Chin,</w:t>
      </w:r>
      <w:r w:rsidR="00E64E91">
        <w:rPr>
          <w:rFonts w:cs="Arial"/>
          <w:szCs w:val="19"/>
        </w:rPr>
        <w:t xml:space="preserve"> </w:t>
      </w:r>
      <w:r w:rsidR="007C5BFA">
        <w:rPr>
          <w:rFonts w:cs="Arial"/>
          <w:szCs w:val="19"/>
        </w:rPr>
        <w:t xml:space="preserve">ze Stanów Zjednoczonych, </w:t>
      </w:r>
      <w:r w:rsidRPr="006835A6">
        <w:rPr>
          <w:rFonts w:cs="Arial"/>
          <w:szCs w:val="19"/>
        </w:rPr>
        <w:t>Hiszpanii,</w:t>
      </w:r>
      <w:r>
        <w:rPr>
          <w:rFonts w:cs="Arial"/>
          <w:szCs w:val="19"/>
        </w:rPr>
        <w:t xml:space="preserve"> Francji, Holandii</w:t>
      </w:r>
      <w:r w:rsidR="004C2598">
        <w:rPr>
          <w:rFonts w:cs="Arial"/>
          <w:szCs w:val="19"/>
        </w:rPr>
        <w:t xml:space="preserve"> </w:t>
      </w:r>
      <w:r w:rsidR="00614ABB">
        <w:rPr>
          <w:rFonts w:cs="Arial"/>
          <w:szCs w:val="19"/>
        </w:rPr>
        <w:t xml:space="preserve">oraz </w:t>
      </w:r>
      <w:r w:rsidR="00B420C3">
        <w:rPr>
          <w:rFonts w:cs="Arial"/>
          <w:szCs w:val="19"/>
        </w:rPr>
        <w:t>Niemiec</w:t>
      </w:r>
      <w:r w:rsidR="00614ABB">
        <w:rPr>
          <w:rFonts w:cs="Arial"/>
          <w:szCs w:val="19"/>
        </w:rPr>
        <w:t>.</w:t>
      </w:r>
    </w:p>
    <w:p w:rsidR="00345F7C" w:rsidRPr="00483835" w:rsidRDefault="00E64E91" w:rsidP="00366025">
      <w:pPr>
        <w:rPr>
          <w:rFonts w:cs="Arial"/>
        </w:rPr>
      </w:pPr>
      <w:r w:rsidRPr="00483835">
        <w:rPr>
          <w:rFonts w:cs="Arial"/>
        </w:rPr>
        <w:t xml:space="preserve">Obroty z pierwszą dziesiątką naszych partnerów handlowych stanowiły </w:t>
      </w:r>
      <w:r>
        <w:rPr>
          <w:rFonts w:cs="Arial"/>
        </w:rPr>
        <w:t>6</w:t>
      </w:r>
      <w:r w:rsidR="003B2C69">
        <w:rPr>
          <w:rFonts w:cs="Arial"/>
        </w:rPr>
        <w:t>6</w:t>
      </w:r>
      <w:r>
        <w:rPr>
          <w:rFonts w:cs="Arial"/>
        </w:rPr>
        <w:t>,</w:t>
      </w:r>
      <w:r w:rsidR="006E784E">
        <w:rPr>
          <w:rFonts w:cs="Arial"/>
        </w:rPr>
        <w:t>4</w:t>
      </w:r>
      <w:r w:rsidRPr="00483835">
        <w:rPr>
          <w:rFonts w:cs="Arial"/>
        </w:rPr>
        <w:t xml:space="preserve">% eksportu (w analogicznym okresie ub. r. </w:t>
      </w:r>
      <w:r>
        <w:rPr>
          <w:rFonts w:cs="Arial"/>
        </w:rPr>
        <w:t>6</w:t>
      </w:r>
      <w:r w:rsidR="00E57771">
        <w:rPr>
          <w:rFonts w:cs="Arial"/>
        </w:rPr>
        <w:t>6</w:t>
      </w:r>
      <w:r>
        <w:rPr>
          <w:rFonts w:cs="Arial"/>
        </w:rPr>
        <w:t>,</w:t>
      </w:r>
      <w:r w:rsidR="006E784E">
        <w:rPr>
          <w:rFonts w:cs="Arial"/>
        </w:rPr>
        <w:t>5</w:t>
      </w:r>
      <w:r w:rsidRPr="00483835">
        <w:rPr>
          <w:rFonts w:cs="Arial"/>
        </w:rPr>
        <w:t xml:space="preserve">%), a importu ogółem – </w:t>
      </w:r>
      <w:r w:rsidR="004260F2">
        <w:rPr>
          <w:rFonts w:cs="Arial"/>
        </w:rPr>
        <w:t>6</w:t>
      </w:r>
      <w:r w:rsidR="004C2598">
        <w:rPr>
          <w:rFonts w:cs="Arial"/>
        </w:rPr>
        <w:t>3</w:t>
      </w:r>
      <w:r>
        <w:rPr>
          <w:rFonts w:cs="Arial"/>
        </w:rPr>
        <w:t>,</w:t>
      </w:r>
      <w:r w:rsidR="006E784E">
        <w:rPr>
          <w:rFonts w:cs="Arial"/>
        </w:rPr>
        <w:t>8</w:t>
      </w:r>
      <w:r w:rsidRPr="00483835">
        <w:rPr>
          <w:rFonts w:cs="Arial"/>
        </w:rPr>
        <w:t xml:space="preserve">% (wobec </w:t>
      </w:r>
      <w:r>
        <w:rPr>
          <w:rFonts w:cs="Arial"/>
        </w:rPr>
        <w:t>6</w:t>
      </w:r>
      <w:r w:rsidR="00436B8E">
        <w:rPr>
          <w:rFonts w:cs="Arial"/>
        </w:rPr>
        <w:t>5</w:t>
      </w:r>
      <w:r>
        <w:rPr>
          <w:rFonts w:cs="Arial"/>
        </w:rPr>
        <w:t>,</w:t>
      </w:r>
      <w:r w:rsidR="006E784E">
        <w:rPr>
          <w:rFonts w:cs="Arial"/>
        </w:rPr>
        <w:t>0</w:t>
      </w:r>
      <w:r w:rsidRPr="00483835">
        <w:rPr>
          <w:rFonts w:cs="Arial"/>
        </w:rPr>
        <w:t>% w styczniu</w:t>
      </w:r>
      <w:r>
        <w:rPr>
          <w:rFonts w:cs="Arial"/>
        </w:rPr>
        <w:t xml:space="preserve"> – </w:t>
      </w:r>
      <w:r w:rsidR="006E784E">
        <w:rPr>
          <w:rFonts w:cs="Arial"/>
        </w:rPr>
        <w:t>wrześniu</w:t>
      </w:r>
      <w:r>
        <w:rPr>
          <w:rFonts w:cs="Arial"/>
        </w:rPr>
        <w:t xml:space="preserve"> </w:t>
      </w:r>
      <w:r w:rsidRPr="00483835">
        <w:rPr>
          <w:rFonts w:cs="Arial"/>
        </w:rPr>
        <w:t>201</w:t>
      </w:r>
      <w:r>
        <w:rPr>
          <w:rFonts w:cs="Arial"/>
        </w:rPr>
        <w:t>8</w:t>
      </w:r>
      <w:r w:rsidRPr="00483835">
        <w:rPr>
          <w:rFonts w:cs="Arial"/>
        </w:rPr>
        <w:t xml:space="preserve"> r.).</w:t>
      </w:r>
    </w:p>
    <w:p w:rsidR="0043023F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483835">
        <w:rPr>
          <w:rFonts w:cs="Arial"/>
          <w:szCs w:val="19"/>
        </w:rPr>
        <w:t xml:space="preserve">Udział Niemiec w eksporcie </w:t>
      </w:r>
      <w:r w:rsidR="00483835" w:rsidRPr="00483835">
        <w:rPr>
          <w:rFonts w:cs="Arial"/>
          <w:szCs w:val="19"/>
        </w:rPr>
        <w:t xml:space="preserve">obniżył się w porównaniu z analogicznym okresem ub. r. </w:t>
      </w:r>
      <w:r w:rsidR="00483835" w:rsidRPr="00483835">
        <w:rPr>
          <w:szCs w:val="19"/>
        </w:rPr>
        <w:t>o </w:t>
      </w:r>
      <w:r w:rsidR="00E57771">
        <w:rPr>
          <w:szCs w:val="19"/>
        </w:rPr>
        <w:t>0</w:t>
      </w:r>
      <w:r w:rsidR="003B2C69">
        <w:rPr>
          <w:szCs w:val="19"/>
        </w:rPr>
        <w:t>,</w:t>
      </w:r>
      <w:r w:rsidR="005567A8">
        <w:rPr>
          <w:szCs w:val="19"/>
        </w:rPr>
        <w:t>5</w:t>
      </w:r>
      <w:r w:rsidR="00483835" w:rsidRPr="00483835">
        <w:rPr>
          <w:rFonts w:cs="Arial"/>
          <w:szCs w:val="19"/>
        </w:rPr>
        <w:t xml:space="preserve"> p. proc. i wyniósł </w:t>
      </w:r>
      <w:r w:rsidR="00B62719">
        <w:rPr>
          <w:rFonts w:cs="Arial"/>
          <w:szCs w:val="19"/>
        </w:rPr>
        <w:t>27,</w:t>
      </w:r>
      <w:r w:rsidR="004C2598">
        <w:rPr>
          <w:rFonts w:cs="Arial"/>
          <w:szCs w:val="19"/>
        </w:rPr>
        <w:t>7</w:t>
      </w:r>
      <w:r w:rsidR="00483835" w:rsidRPr="00483835">
        <w:rPr>
          <w:rFonts w:cs="Arial"/>
          <w:szCs w:val="19"/>
        </w:rPr>
        <w:t>%</w:t>
      </w:r>
      <w:r w:rsidRPr="00483835">
        <w:rPr>
          <w:rFonts w:cs="Arial"/>
          <w:szCs w:val="19"/>
        </w:rPr>
        <w:t xml:space="preserve">, a w imporcie o </w:t>
      </w:r>
      <w:r w:rsidR="009575EC">
        <w:rPr>
          <w:rFonts w:cs="Arial"/>
          <w:szCs w:val="19"/>
        </w:rPr>
        <w:t>0</w:t>
      </w:r>
      <w:r w:rsidR="00B62719">
        <w:rPr>
          <w:rFonts w:cs="Arial"/>
          <w:szCs w:val="19"/>
        </w:rPr>
        <w:t>,</w:t>
      </w:r>
      <w:r w:rsidR="004C2598">
        <w:rPr>
          <w:rFonts w:cs="Arial"/>
          <w:szCs w:val="19"/>
        </w:rPr>
        <w:t>7</w:t>
      </w:r>
      <w:r w:rsidRPr="00483835">
        <w:rPr>
          <w:rFonts w:cs="Arial"/>
          <w:szCs w:val="19"/>
        </w:rPr>
        <w:t xml:space="preserve"> p. proc</w:t>
      </w:r>
      <w:r w:rsidR="00772D14">
        <w:rPr>
          <w:rFonts w:cs="Arial"/>
          <w:szCs w:val="19"/>
        </w:rPr>
        <w:t>.</w:t>
      </w:r>
      <w:r w:rsidRPr="00483835">
        <w:rPr>
          <w:rFonts w:cs="Arial"/>
          <w:szCs w:val="19"/>
        </w:rPr>
        <w:t xml:space="preserve"> i stanowił </w:t>
      </w:r>
      <w:r w:rsidR="00B62719">
        <w:rPr>
          <w:rFonts w:cs="Arial"/>
          <w:szCs w:val="19"/>
        </w:rPr>
        <w:t>2</w:t>
      </w:r>
      <w:r w:rsidR="009575EC">
        <w:rPr>
          <w:rFonts w:cs="Arial"/>
          <w:szCs w:val="19"/>
        </w:rPr>
        <w:t>2</w:t>
      </w:r>
      <w:r w:rsidR="00B62719">
        <w:rPr>
          <w:rFonts w:cs="Arial"/>
          <w:szCs w:val="19"/>
        </w:rPr>
        <w:t>,</w:t>
      </w:r>
      <w:r w:rsidR="00400032">
        <w:rPr>
          <w:rFonts w:cs="Arial"/>
          <w:szCs w:val="19"/>
        </w:rPr>
        <w:t>0</w:t>
      </w:r>
      <w:r w:rsidRPr="00483835">
        <w:rPr>
          <w:rFonts w:cs="Arial"/>
          <w:szCs w:val="19"/>
        </w:rPr>
        <w:t xml:space="preserve">%. Dodatnie saldo wyniosło </w:t>
      </w:r>
      <w:r w:rsidR="005567A8">
        <w:rPr>
          <w:rFonts w:cs="Arial"/>
          <w:szCs w:val="19"/>
        </w:rPr>
        <w:t>42,9</w:t>
      </w:r>
      <w:r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Pr="00483835">
        <w:rPr>
          <w:rFonts w:cs="Arial"/>
          <w:szCs w:val="19"/>
        </w:rPr>
        <w:t xml:space="preserve"> </w:t>
      </w:r>
      <w:r w:rsidR="00A52A97">
        <w:rPr>
          <w:rFonts w:cs="Arial"/>
          <w:szCs w:val="19"/>
        </w:rPr>
        <w:t>PLN</w:t>
      </w:r>
      <w:r w:rsidRPr="00483835">
        <w:rPr>
          <w:rFonts w:cs="Arial"/>
          <w:szCs w:val="19"/>
        </w:rPr>
        <w:t xml:space="preserve"> (</w:t>
      </w:r>
      <w:r w:rsidR="005567A8">
        <w:rPr>
          <w:rFonts w:cs="Arial"/>
          <w:szCs w:val="19"/>
        </w:rPr>
        <w:t>11,3</w:t>
      </w:r>
      <w:r w:rsidR="00F70DA2" w:rsidRPr="00483835">
        <w:rPr>
          <w:rFonts w:cs="Arial"/>
          <w:szCs w:val="19"/>
        </w:rPr>
        <w:t xml:space="preserve"> mld</w:t>
      </w:r>
      <w:r w:rsidRPr="00483835">
        <w:rPr>
          <w:rFonts w:cs="Arial"/>
          <w:szCs w:val="19"/>
        </w:rPr>
        <w:t xml:space="preserve"> USD, </w:t>
      </w:r>
      <w:r w:rsidR="005567A8">
        <w:rPr>
          <w:rFonts w:cs="Arial"/>
          <w:szCs w:val="19"/>
        </w:rPr>
        <w:t>10,0</w:t>
      </w:r>
      <w:r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Pr="00483835">
        <w:rPr>
          <w:rFonts w:cs="Arial"/>
          <w:szCs w:val="19"/>
        </w:rPr>
        <w:t xml:space="preserve"> EUR) wobec </w:t>
      </w:r>
      <w:r w:rsidR="004C2598">
        <w:rPr>
          <w:rFonts w:cs="Arial"/>
          <w:szCs w:val="19"/>
        </w:rPr>
        <w:t>3</w:t>
      </w:r>
      <w:r w:rsidR="005567A8">
        <w:rPr>
          <w:rFonts w:cs="Arial"/>
          <w:szCs w:val="19"/>
        </w:rPr>
        <w:t>5,3</w:t>
      </w:r>
      <w:r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Pr="00483835">
        <w:rPr>
          <w:rFonts w:cs="Arial"/>
          <w:szCs w:val="19"/>
        </w:rPr>
        <w:t xml:space="preserve"> </w:t>
      </w:r>
      <w:r w:rsidR="00A52A97">
        <w:rPr>
          <w:rFonts w:cs="Arial"/>
          <w:szCs w:val="19"/>
        </w:rPr>
        <w:t>PLN</w:t>
      </w:r>
      <w:r w:rsidRPr="00483835">
        <w:rPr>
          <w:rFonts w:cs="Arial"/>
          <w:szCs w:val="19"/>
        </w:rPr>
        <w:t xml:space="preserve"> (</w:t>
      </w:r>
      <w:r w:rsidR="00400032">
        <w:rPr>
          <w:rFonts w:cs="Arial"/>
          <w:szCs w:val="19"/>
        </w:rPr>
        <w:t>10,0</w:t>
      </w:r>
      <w:r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Pr="00483835">
        <w:rPr>
          <w:rFonts w:cs="Arial"/>
          <w:szCs w:val="19"/>
        </w:rPr>
        <w:t xml:space="preserve"> USD, </w:t>
      </w:r>
      <w:r w:rsidR="005567A8">
        <w:rPr>
          <w:rFonts w:cs="Arial"/>
          <w:szCs w:val="19"/>
        </w:rPr>
        <w:t>8,3</w:t>
      </w:r>
      <w:r w:rsidR="00F70DA2" w:rsidRPr="00483835">
        <w:rPr>
          <w:rFonts w:cs="Arial"/>
          <w:szCs w:val="19"/>
        </w:rPr>
        <w:t xml:space="preserve"> </w:t>
      </w:r>
      <w:r w:rsidRPr="00483835">
        <w:rPr>
          <w:rFonts w:cs="Arial"/>
          <w:szCs w:val="19"/>
        </w:rPr>
        <w:t>ml</w:t>
      </w:r>
      <w:r w:rsidR="00F70DA2" w:rsidRPr="00483835">
        <w:rPr>
          <w:rFonts w:cs="Arial"/>
          <w:szCs w:val="19"/>
        </w:rPr>
        <w:t>d</w:t>
      </w:r>
      <w:r w:rsidRPr="00483835">
        <w:rPr>
          <w:rFonts w:cs="Arial"/>
          <w:szCs w:val="19"/>
        </w:rPr>
        <w:t xml:space="preserve"> EUR) </w:t>
      </w:r>
      <w:r w:rsidR="00483835" w:rsidRPr="00483835">
        <w:rPr>
          <w:rFonts w:cs="Arial"/>
          <w:spacing w:val="-3"/>
          <w:szCs w:val="19"/>
        </w:rPr>
        <w:t xml:space="preserve">w </w:t>
      </w:r>
      <w:r w:rsidR="000330AA">
        <w:rPr>
          <w:rFonts w:cs="Arial"/>
          <w:spacing w:val="-3"/>
          <w:szCs w:val="19"/>
        </w:rPr>
        <w:t>a</w:t>
      </w:r>
      <w:r w:rsidR="00483835" w:rsidRPr="00483835">
        <w:rPr>
          <w:rFonts w:cs="Arial"/>
          <w:spacing w:val="-3"/>
          <w:szCs w:val="19"/>
        </w:rPr>
        <w:t>nalogicznym okresie ub. r.</w:t>
      </w:r>
    </w:p>
    <w:p w:rsidR="00366025" w:rsidRPr="00E25E36" w:rsidRDefault="00AE4B6E" w:rsidP="00E25E36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2D45CF">
        <w:rPr>
          <w:b/>
          <w:noProof/>
          <w:spacing w:val="-2"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C7C981A" wp14:editId="191C262F">
                <wp:simplePos x="0" y="0"/>
                <wp:positionH relativeFrom="column">
                  <wp:posOffset>5272405</wp:posOffset>
                </wp:positionH>
                <wp:positionV relativeFrom="paragraph">
                  <wp:posOffset>4029130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923" w:rsidRPr="00FF1498" w:rsidRDefault="00886923" w:rsidP="00A00ADB">
                            <w:pPr>
                              <w:pStyle w:val="tekstzboku"/>
                            </w:pPr>
                            <w:r w:rsidRPr="00FF1498">
                              <w:rPr>
                                <w:rFonts w:cs="Arial"/>
                              </w:rPr>
                              <w:t xml:space="preserve">Udział Rosji w imporcie </w:t>
                            </w:r>
                            <w:r>
                              <w:rPr>
                                <w:rFonts w:cs="Arial"/>
                              </w:rPr>
                              <w:t>zmniejszył się</w:t>
                            </w:r>
                            <w:r w:rsidRPr="00FF1498">
                              <w:rPr>
                                <w:rFonts w:cs="Arial"/>
                              </w:rPr>
                              <w:t xml:space="preserve"> w porównaniu z analogicznym okresem </w:t>
                            </w:r>
                            <w:r w:rsidRPr="00487646">
                              <w:t>2018</w:t>
                            </w:r>
                            <w:r>
                              <w:t xml:space="preserve"> </w:t>
                            </w:r>
                            <w:r w:rsidRPr="00487646"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>. o 1,0 p. proc. i stanowił 6,1</w:t>
                            </w:r>
                            <w:r w:rsidRPr="00FF1498">
                              <w:rPr>
                                <w:rFonts w:cs="Arial"/>
                              </w:rPr>
                              <w:t>%</w:t>
                            </w:r>
                            <w:r w:rsidRPr="00FF1498">
                              <w:t xml:space="preserve"> </w:t>
                            </w: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Default="00886923" w:rsidP="00A00ADB">
                            <w:pPr>
                              <w:pStyle w:val="tekstzboku"/>
                            </w:pPr>
                          </w:p>
                          <w:p w:rsidR="00886923" w:rsidRPr="00074DD8" w:rsidRDefault="00886923" w:rsidP="00A00ADB">
                            <w:pPr>
                              <w:pStyle w:val="tekstzboku"/>
                            </w:pPr>
                          </w:p>
                          <w:p w:rsidR="00886923" w:rsidRPr="00D616D2" w:rsidRDefault="00886923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981A" id="Pole tekstowe 14" o:spid="_x0000_s1031" type="#_x0000_t202" style="position:absolute;margin-left:415.15pt;margin-top:317.25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" filled="f" stroked="f">
                <v:textbox>
                  <w:txbxContent>
                    <w:p w:rsidR="00886923" w:rsidRPr="00FF1498" w:rsidRDefault="00886923" w:rsidP="00A00ADB">
                      <w:pPr>
                        <w:pStyle w:val="tekstzboku"/>
                      </w:pPr>
                      <w:r w:rsidRPr="00FF1498">
                        <w:rPr>
                          <w:rFonts w:cs="Arial"/>
                        </w:rPr>
                        <w:t xml:space="preserve">Udział Rosji w imporcie </w:t>
                      </w:r>
                      <w:r>
                        <w:rPr>
                          <w:rFonts w:cs="Arial"/>
                        </w:rPr>
                        <w:t>zmniejszył się</w:t>
                      </w:r>
                      <w:r w:rsidRPr="00FF1498">
                        <w:rPr>
                          <w:rFonts w:cs="Arial"/>
                        </w:rPr>
                        <w:t xml:space="preserve"> w porównaniu z analogicznym okresem </w:t>
                      </w:r>
                      <w:r w:rsidRPr="00487646">
                        <w:t>2018</w:t>
                      </w:r>
                      <w:r>
                        <w:t xml:space="preserve"> </w:t>
                      </w:r>
                      <w:r w:rsidRPr="00487646">
                        <w:t>r</w:t>
                      </w:r>
                      <w:r>
                        <w:rPr>
                          <w:rFonts w:cs="Arial"/>
                        </w:rPr>
                        <w:t>. o 1,0 p. proc. i stanowił 6,1</w:t>
                      </w:r>
                      <w:r w:rsidRPr="00FF1498">
                        <w:rPr>
                          <w:rFonts w:cs="Arial"/>
                        </w:rPr>
                        <w:t>%</w:t>
                      </w:r>
                      <w:r w:rsidRPr="00FF1498">
                        <w:t xml:space="preserve"> </w:t>
                      </w: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Default="00886923" w:rsidP="00A00ADB">
                      <w:pPr>
                        <w:pStyle w:val="tekstzboku"/>
                      </w:pPr>
                    </w:p>
                    <w:p w:rsidR="00886923" w:rsidRPr="00074DD8" w:rsidRDefault="00886923" w:rsidP="00A00ADB">
                      <w:pPr>
                        <w:pStyle w:val="tekstzboku"/>
                      </w:pPr>
                    </w:p>
                    <w:p w:rsidR="00886923" w:rsidRPr="00D616D2" w:rsidRDefault="00886923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>
        <w:rPr>
          <w:rFonts w:cs="Arial"/>
          <w:b/>
          <w:spacing w:val="-3"/>
          <w:sz w:val="18"/>
          <w:szCs w:val="18"/>
        </w:rPr>
        <w:t>Tablica 2</w:t>
      </w:r>
      <w:r w:rsidR="002D45CF" w:rsidRPr="00C30406">
        <w:rPr>
          <w:rFonts w:cs="Arial"/>
          <w:b/>
          <w:spacing w:val="-3"/>
          <w:sz w:val="18"/>
          <w:szCs w:val="18"/>
        </w:rPr>
        <w:t xml:space="preserve">. </w:t>
      </w:r>
      <w:r w:rsidR="002D45CF">
        <w:rPr>
          <w:rFonts w:cs="Arial"/>
          <w:b/>
          <w:spacing w:val="-3"/>
          <w:sz w:val="18"/>
          <w:szCs w:val="18"/>
        </w:rPr>
        <w:t>Obroty towarowe według ważniejszych krajów</w:t>
      </w:r>
      <w:r w:rsidR="002D45CF" w:rsidRPr="002D45CF">
        <w:rPr>
          <w:b/>
          <w:noProof/>
          <w:spacing w:val="-2"/>
          <w:sz w:val="18"/>
          <w:szCs w:val="18"/>
          <w:lang w:eastAsia="pl-PL"/>
        </w:rPr>
        <w:t xml:space="preserve">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366025" w:rsidRPr="00366025" w:rsidTr="00BE060A">
        <w:tc>
          <w:tcPr>
            <w:tcW w:w="2407" w:type="dxa"/>
            <w:vMerge w:val="restart"/>
            <w:tcBorders>
              <w:top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A44ACB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66025" w:rsidRPr="005F3D74" w:rsidRDefault="00366025" w:rsidP="00EB7EE9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80296F">
              <w:rPr>
                <w:rFonts w:cs="Arial"/>
                <w:sz w:val="16"/>
                <w:szCs w:val="16"/>
              </w:rPr>
              <w:t xml:space="preserve"> – </w:t>
            </w:r>
            <w:r w:rsidR="006A673E">
              <w:rPr>
                <w:rFonts w:cs="Arial"/>
                <w:sz w:val="16"/>
                <w:szCs w:val="16"/>
              </w:rPr>
              <w:t>I</w:t>
            </w:r>
            <w:r w:rsidR="00EB7EE9">
              <w:rPr>
                <w:rFonts w:cs="Arial"/>
                <w:sz w:val="16"/>
                <w:szCs w:val="16"/>
              </w:rPr>
              <w:t>X</w:t>
            </w:r>
            <w:r w:rsidR="003A7475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935A2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366025" w:rsidP="00935A2E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935A2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</w:tcBorders>
            <w:vAlign w:val="center"/>
          </w:tcPr>
          <w:p w:rsidR="00366025" w:rsidRPr="005F3D74" w:rsidRDefault="00366025" w:rsidP="00935A2E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935A2E">
              <w:rPr>
                <w:rFonts w:cs="Arial"/>
                <w:sz w:val="16"/>
                <w:szCs w:val="16"/>
              </w:rPr>
              <w:t>9</w:t>
            </w:r>
          </w:p>
        </w:tc>
      </w:tr>
      <w:tr w:rsidR="00366025" w:rsidRPr="00366025" w:rsidTr="00BE060A">
        <w:tc>
          <w:tcPr>
            <w:tcW w:w="2407" w:type="dxa"/>
            <w:vMerge/>
            <w:tcBorders>
              <w:top w:val="single" w:sz="4" w:space="0" w:color="auto"/>
              <w:bottom w:val="single" w:sz="4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1146CE" w:rsidRPr="005F3D74" w:rsidRDefault="00366025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  <w:r w:rsidR="001146CE" w:rsidRPr="005F3D74">
              <w:rPr>
                <w:rFonts w:cs="Arial"/>
                <w:sz w:val="16"/>
                <w:szCs w:val="16"/>
              </w:rPr>
              <w:t xml:space="preserve"> </w:t>
            </w:r>
          </w:p>
          <w:p w:rsidR="00366025" w:rsidRPr="005F3D74" w:rsidRDefault="00B2555E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EB7EE9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3A7475">
              <w:rPr>
                <w:rFonts w:cs="Arial"/>
                <w:sz w:val="16"/>
                <w:szCs w:val="16"/>
              </w:rPr>
              <w:t xml:space="preserve"> – </w:t>
            </w:r>
            <w:r w:rsidR="006A673E">
              <w:rPr>
                <w:rFonts w:cs="Arial"/>
                <w:sz w:val="16"/>
                <w:szCs w:val="16"/>
              </w:rPr>
              <w:t>I</w:t>
            </w:r>
            <w:r w:rsidR="00EB7EE9">
              <w:rPr>
                <w:rFonts w:cs="Arial"/>
                <w:sz w:val="16"/>
                <w:szCs w:val="16"/>
              </w:rPr>
              <w:t>X</w:t>
            </w:r>
            <w:r w:rsidR="003A7475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935A2E">
              <w:rPr>
                <w:rFonts w:cs="Arial"/>
                <w:sz w:val="16"/>
                <w:szCs w:val="16"/>
              </w:rPr>
              <w:t>8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001D77"/>
            </w:tcBorders>
            <w:vAlign w:val="center"/>
          </w:tcPr>
          <w:p w:rsidR="00366025" w:rsidRPr="005F3D74" w:rsidRDefault="00366025" w:rsidP="00EB7EE9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80296F">
              <w:rPr>
                <w:rFonts w:cs="Arial"/>
                <w:sz w:val="16"/>
                <w:szCs w:val="16"/>
              </w:rPr>
              <w:t xml:space="preserve"> – </w:t>
            </w:r>
            <w:r w:rsidR="00206A18">
              <w:rPr>
                <w:rFonts w:cs="Arial"/>
                <w:sz w:val="16"/>
                <w:szCs w:val="16"/>
              </w:rPr>
              <w:t>I</w:t>
            </w:r>
            <w:r w:rsidR="00EB7EE9">
              <w:rPr>
                <w:rFonts w:cs="Arial"/>
                <w:sz w:val="16"/>
                <w:szCs w:val="16"/>
              </w:rPr>
              <w:t>X</w:t>
            </w:r>
            <w:r w:rsidR="003A747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44ACB" w:rsidRPr="00366025" w:rsidTr="00D115A8">
        <w:tc>
          <w:tcPr>
            <w:tcW w:w="2407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B2555E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66025" w:rsidRPr="00366025" w:rsidTr="00D115A8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EB7EE9" w:rsidRPr="00206A18" w:rsidTr="00EB7EE9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Pr="00206A18" w:rsidRDefault="00EB7EE9" w:rsidP="00EB7EE9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206,5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27,7</w:t>
            </w:r>
          </w:p>
        </w:tc>
      </w:tr>
      <w:tr w:rsidR="00EB7EE9" w:rsidRPr="00206A18" w:rsidTr="00EB7EE9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Pr="00206A18" w:rsidRDefault="00EB7EE9" w:rsidP="00EB7EE9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2. Czechy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</w:tr>
      <w:tr w:rsidR="00EB7EE9" w:rsidRPr="00206A18" w:rsidTr="00EB7EE9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Pr="00206A18" w:rsidRDefault="00EB7EE9" w:rsidP="00EB7EE9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3. W. Brytania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</w:tr>
      <w:tr w:rsidR="00EB7EE9" w:rsidRPr="00206A18" w:rsidTr="00EB7EE9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Pr="00206A18" w:rsidRDefault="00EB7EE9" w:rsidP="00EB7EE9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4. Francja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5,8</w:t>
            </w:r>
          </w:p>
        </w:tc>
      </w:tr>
      <w:tr w:rsidR="00EB7EE9" w:rsidRPr="00206A18" w:rsidTr="00EB7EE9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Pr="00206A18" w:rsidRDefault="00EB7EE9" w:rsidP="005D4CB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5. </w:t>
            </w:r>
            <w:r w:rsidR="005D4CB0" w:rsidRPr="00206A18">
              <w:rPr>
                <w:rFonts w:cs="Arial"/>
                <w:sz w:val="16"/>
                <w:szCs w:val="16"/>
              </w:rPr>
              <w:t xml:space="preserve">Włochy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</w:tr>
      <w:tr w:rsidR="00EB7EE9" w:rsidRPr="00206A18" w:rsidTr="00EB7EE9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Pr="00206A18" w:rsidRDefault="00EB7EE9" w:rsidP="005D4CB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</w:t>
            </w:r>
            <w:r w:rsidR="005D4CB0" w:rsidRPr="00206A18">
              <w:rPr>
                <w:rFonts w:cs="Arial"/>
                <w:sz w:val="16"/>
                <w:szCs w:val="16"/>
              </w:rPr>
              <w:t>Holandia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EB7EE9" w:rsidRPr="00206A18" w:rsidTr="00EB7EE9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Pr="00206A18" w:rsidRDefault="00EB7EE9" w:rsidP="00EB7EE9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7. Rosja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</w:tr>
      <w:tr w:rsidR="00EB7EE9" w:rsidRPr="00206A18" w:rsidTr="00EB7EE9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Pr="00206A18" w:rsidRDefault="00EB7EE9" w:rsidP="00EB7EE9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8. Stany Zjednoczone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</w:tr>
      <w:tr w:rsidR="00EB7EE9" w:rsidRPr="00206A18" w:rsidTr="00EB7EE9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Pr="00206A18" w:rsidRDefault="00EB7EE9" w:rsidP="00EB7EE9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Węgry</w:t>
            </w:r>
            <w:r w:rsidRPr="00206A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</w:tr>
      <w:tr w:rsidR="00EB7EE9" w:rsidRPr="00206A18" w:rsidTr="00EB7EE9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Pr="00206A18" w:rsidRDefault="00EB7EE9" w:rsidP="00EB7EE9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Szwecja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bottom"/>
          </w:tcPr>
          <w:p w:rsidR="00EB7EE9" w:rsidRDefault="00EB7EE9" w:rsidP="00EB7EE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</w:tr>
      <w:tr w:rsidR="00366025" w:rsidRPr="00366025" w:rsidTr="00D115A8">
        <w:tc>
          <w:tcPr>
            <w:tcW w:w="8023" w:type="dxa"/>
            <w:gridSpan w:val="9"/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 w:rsidR="00992926">
              <w:rPr>
                <w:rFonts w:cs="Arial"/>
                <w:b/>
                <w:sz w:val="16"/>
                <w:szCs w:val="16"/>
              </w:rPr>
              <w:t xml:space="preserve"> (wg kraju pochodzenia)</w:t>
            </w:r>
          </w:p>
        </w:tc>
      </w:tr>
      <w:tr w:rsidR="008530CF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Pr="00206A18" w:rsidRDefault="008530CF" w:rsidP="008530CF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22,0</w:t>
            </w:r>
          </w:p>
        </w:tc>
      </w:tr>
      <w:tr w:rsidR="008530CF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Pr="00206A18" w:rsidRDefault="008530CF" w:rsidP="008530CF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12,3</w:t>
            </w:r>
          </w:p>
        </w:tc>
      </w:tr>
      <w:tr w:rsidR="008530CF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Pr="00206A18" w:rsidRDefault="008530CF" w:rsidP="008530CF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3. Rosja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83,0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</w:tr>
      <w:tr w:rsidR="008530CF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Pr="00206A18" w:rsidRDefault="008530CF" w:rsidP="008530CF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Włochy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</w:tr>
      <w:tr w:rsidR="008530CF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Pr="00206A18" w:rsidRDefault="008530CF" w:rsidP="008530CF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5.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</w:tr>
      <w:tr w:rsidR="008530CF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Pr="00206A18" w:rsidRDefault="008530CF" w:rsidP="008530CF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6. Francja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</w:tr>
      <w:tr w:rsidR="008530CF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Pr="00206A18" w:rsidRDefault="008530CF" w:rsidP="008530CF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7. Czechy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3,3</w:t>
            </w:r>
          </w:p>
        </w:tc>
      </w:tr>
      <w:tr w:rsidR="008530CF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Pr="00206A18" w:rsidRDefault="008530CF" w:rsidP="008530CF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8. Stany Zjednoczone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</w:tr>
      <w:tr w:rsidR="008530CF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Pr="00206A18" w:rsidRDefault="008530CF" w:rsidP="008530CF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9. Belgia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</w:tr>
      <w:tr w:rsidR="008530CF" w:rsidRPr="00206A18" w:rsidTr="00206A18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Pr="00206A18" w:rsidRDefault="008530CF" w:rsidP="008530CF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Hiszpania</w:t>
            </w:r>
            <w:r w:rsidRPr="00206A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bottom"/>
          </w:tcPr>
          <w:p w:rsidR="008530CF" w:rsidRDefault="008530CF" w:rsidP="008530C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</w:tr>
    </w:tbl>
    <w:p w:rsidR="00CD2FE9" w:rsidRDefault="00CD2FE9" w:rsidP="00366025">
      <w:pPr>
        <w:rPr>
          <w:b/>
          <w:sz w:val="18"/>
          <w:szCs w:val="18"/>
        </w:rPr>
      </w:pPr>
    </w:p>
    <w:p w:rsidR="00FC43DA" w:rsidRDefault="00FC43DA" w:rsidP="00366025">
      <w:pPr>
        <w:rPr>
          <w:b/>
          <w:sz w:val="18"/>
          <w:szCs w:val="18"/>
        </w:rPr>
      </w:pPr>
    </w:p>
    <w:p w:rsidR="009575EC" w:rsidRDefault="009575EC" w:rsidP="00366025">
      <w:pPr>
        <w:rPr>
          <w:b/>
          <w:sz w:val="18"/>
          <w:szCs w:val="18"/>
        </w:rPr>
      </w:pPr>
    </w:p>
    <w:p w:rsidR="00FC43DA" w:rsidRDefault="00FC43DA" w:rsidP="00366025">
      <w:pPr>
        <w:rPr>
          <w:b/>
          <w:sz w:val="18"/>
          <w:szCs w:val="18"/>
        </w:rPr>
      </w:pPr>
    </w:p>
    <w:p w:rsidR="00AD34B4" w:rsidRDefault="00AD34B4" w:rsidP="00AD34B4">
      <w:pPr>
        <w:pStyle w:val="Nagwek1"/>
      </w:pPr>
      <w:r>
        <w:t>Import według kraju wysyłki</w:t>
      </w:r>
      <w:r w:rsidRPr="003C6B82">
        <w:t xml:space="preserve"> ogółem i według grup krajów</w:t>
      </w:r>
    </w:p>
    <w:p w:rsidR="0048231B" w:rsidRPr="005B60E0" w:rsidRDefault="0048231B" w:rsidP="0048231B">
      <w:pPr>
        <w:rPr>
          <w:shd w:val="clear" w:color="auto" w:fill="FFFFFF"/>
        </w:rPr>
      </w:pPr>
      <w:r w:rsidRPr="005B60E0">
        <w:rPr>
          <w:rFonts w:cs="Arial"/>
          <w:spacing w:val="-3"/>
        </w:rPr>
        <w:t xml:space="preserve">Największy obrót towarowy w imporcie według kraju wysyłki Polska odnotowała z krajami </w:t>
      </w:r>
      <w:r w:rsidRPr="005B60E0">
        <w:rPr>
          <w:rFonts w:cs="Arial"/>
          <w:spacing w:val="-3"/>
          <w:szCs w:val="19"/>
        </w:rPr>
        <w:t xml:space="preserve">rozwiniętymi </w:t>
      </w:r>
      <w:r w:rsidRPr="005B60E0">
        <w:rPr>
          <w:rFonts w:cs="Arial"/>
          <w:szCs w:val="19"/>
        </w:rPr>
        <w:t>–</w:t>
      </w:r>
      <w:r w:rsidRPr="005B60E0">
        <w:rPr>
          <w:rFonts w:cs="Arial"/>
          <w:spacing w:val="-3"/>
          <w:szCs w:val="19"/>
        </w:rPr>
        <w:t xml:space="preserve"> </w:t>
      </w:r>
      <w:r w:rsidR="006362E4" w:rsidRPr="005B60E0">
        <w:rPr>
          <w:rFonts w:cs="Arial"/>
          <w:color w:val="000000"/>
          <w:szCs w:val="19"/>
        </w:rPr>
        <w:t xml:space="preserve">545,5 </w:t>
      </w:r>
      <w:r w:rsidRPr="005B60E0">
        <w:rPr>
          <w:rFonts w:cs="Arial"/>
          <w:spacing w:val="-3"/>
          <w:szCs w:val="19"/>
        </w:rPr>
        <w:t>mld</w:t>
      </w:r>
      <w:r w:rsidR="004921B7" w:rsidRPr="005B60E0">
        <w:rPr>
          <w:rFonts w:cs="Arial"/>
          <w:spacing w:val="-3"/>
          <w:szCs w:val="19"/>
        </w:rPr>
        <w:t xml:space="preserve"> </w:t>
      </w:r>
      <w:r w:rsidR="00A52A97" w:rsidRPr="005B60E0">
        <w:rPr>
          <w:rFonts w:cs="Arial"/>
          <w:spacing w:val="-3"/>
          <w:szCs w:val="19"/>
        </w:rPr>
        <w:t>PLN</w:t>
      </w:r>
      <w:r w:rsidRPr="005B60E0">
        <w:rPr>
          <w:rFonts w:cs="Arial"/>
          <w:spacing w:val="-3"/>
          <w:szCs w:val="19"/>
        </w:rPr>
        <w:t xml:space="preserve">, w tym z UE – </w:t>
      </w:r>
      <w:r w:rsidR="006362E4" w:rsidRPr="005B60E0">
        <w:rPr>
          <w:rFonts w:cs="Arial"/>
          <w:color w:val="000000"/>
          <w:szCs w:val="19"/>
        </w:rPr>
        <w:t>510,2</w:t>
      </w:r>
      <w:r w:rsidR="0067455E" w:rsidRPr="005B60E0">
        <w:rPr>
          <w:rFonts w:cs="Arial"/>
          <w:spacing w:val="-3"/>
          <w:szCs w:val="19"/>
        </w:rPr>
        <w:t xml:space="preserve"> </w:t>
      </w:r>
      <w:r w:rsidRPr="005B60E0">
        <w:rPr>
          <w:rFonts w:cs="Arial"/>
          <w:spacing w:val="-3"/>
          <w:szCs w:val="19"/>
        </w:rPr>
        <w:t>mld</w:t>
      </w:r>
      <w:r w:rsidR="004921B7" w:rsidRPr="005B60E0">
        <w:rPr>
          <w:rFonts w:cs="Arial"/>
          <w:spacing w:val="-3"/>
          <w:szCs w:val="19"/>
        </w:rPr>
        <w:t xml:space="preserve"> </w:t>
      </w:r>
      <w:r w:rsidR="00A52A97" w:rsidRPr="005B60E0">
        <w:rPr>
          <w:rFonts w:cs="Arial"/>
          <w:spacing w:val="-3"/>
          <w:szCs w:val="19"/>
        </w:rPr>
        <w:t>PLN</w:t>
      </w:r>
      <w:r w:rsidRPr="005B60E0">
        <w:rPr>
          <w:rFonts w:cs="Arial"/>
          <w:spacing w:val="-3"/>
          <w:szCs w:val="19"/>
        </w:rPr>
        <w:t xml:space="preserve">, wobec odpowiednio </w:t>
      </w:r>
      <w:r w:rsidR="008C0BEF" w:rsidRPr="005B60E0">
        <w:rPr>
          <w:color w:val="000000"/>
          <w:szCs w:val="19"/>
          <w:shd w:val="clear" w:color="auto" w:fill="FFFFFF"/>
        </w:rPr>
        <w:t>534,2</w:t>
      </w:r>
      <w:r w:rsidRPr="005B60E0">
        <w:rPr>
          <w:rFonts w:cs="Arial"/>
          <w:spacing w:val="-3"/>
          <w:szCs w:val="19"/>
        </w:rPr>
        <w:t xml:space="preserve"> mld</w:t>
      </w:r>
      <w:r w:rsidR="004921B7" w:rsidRPr="005B60E0">
        <w:rPr>
          <w:rFonts w:cs="Arial"/>
          <w:spacing w:val="-3"/>
          <w:szCs w:val="19"/>
        </w:rPr>
        <w:t xml:space="preserve"> </w:t>
      </w:r>
      <w:r w:rsidR="00A52A97" w:rsidRPr="005B60E0">
        <w:rPr>
          <w:rFonts w:cs="Arial"/>
          <w:spacing w:val="-3"/>
          <w:szCs w:val="19"/>
        </w:rPr>
        <w:t>PLN</w:t>
      </w:r>
      <w:r w:rsidRPr="005B60E0">
        <w:rPr>
          <w:rFonts w:cs="Arial"/>
          <w:spacing w:val="-3"/>
          <w:szCs w:val="19"/>
        </w:rPr>
        <w:t xml:space="preserve">, w tym z </w:t>
      </w:r>
      <w:r w:rsidR="00F657FD" w:rsidRPr="005B60E0">
        <w:rPr>
          <w:rFonts w:cs="Arial"/>
          <w:spacing w:val="-3"/>
          <w:szCs w:val="19"/>
        </w:rPr>
        <w:t xml:space="preserve">UE </w:t>
      </w:r>
      <w:r w:rsidR="008C0BEF" w:rsidRPr="005B60E0">
        <w:rPr>
          <w:color w:val="000000"/>
          <w:szCs w:val="19"/>
          <w:shd w:val="clear" w:color="auto" w:fill="FFFFFF"/>
        </w:rPr>
        <w:t>501,9</w:t>
      </w:r>
      <w:r w:rsidRPr="005B60E0">
        <w:rPr>
          <w:rFonts w:cs="Arial"/>
          <w:spacing w:val="-3"/>
          <w:szCs w:val="19"/>
        </w:rPr>
        <w:t xml:space="preserve"> mld</w:t>
      </w:r>
      <w:r w:rsidR="004921B7" w:rsidRPr="005B60E0">
        <w:rPr>
          <w:rFonts w:cs="Arial"/>
          <w:spacing w:val="-3"/>
        </w:rPr>
        <w:t xml:space="preserve"> </w:t>
      </w:r>
      <w:r w:rsidR="00A52A97" w:rsidRPr="005B60E0">
        <w:rPr>
          <w:rFonts w:cs="Arial"/>
          <w:spacing w:val="-3"/>
        </w:rPr>
        <w:t>PLN</w:t>
      </w:r>
      <w:r w:rsidRPr="005B60E0">
        <w:rPr>
          <w:rFonts w:cs="Arial"/>
          <w:spacing w:val="-3"/>
        </w:rPr>
        <w:t> w analogicznym okresie 201</w:t>
      </w:r>
      <w:r w:rsidR="00535E77" w:rsidRPr="005B60E0">
        <w:rPr>
          <w:rFonts w:cs="Arial"/>
          <w:spacing w:val="-3"/>
        </w:rPr>
        <w:t>8</w:t>
      </w:r>
      <w:r w:rsidRPr="005B60E0">
        <w:rPr>
          <w:rFonts w:cs="Arial"/>
          <w:spacing w:val="-3"/>
        </w:rPr>
        <w:t xml:space="preserve"> roku</w:t>
      </w:r>
      <w:r w:rsidRPr="005B60E0">
        <w:rPr>
          <w:shd w:val="clear" w:color="auto" w:fill="FFFFFF"/>
        </w:rPr>
        <w:t xml:space="preserve">. </w:t>
      </w: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E25E36" w:rsidRDefault="00E25E36" w:rsidP="00366025">
      <w:pPr>
        <w:rPr>
          <w:rFonts w:cs="Arial"/>
          <w:b/>
          <w:spacing w:val="-3"/>
          <w:sz w:val="18"/>
          <w:szCs w:val="18"/>
        </w:rPr>
      </w:pPr>
    </w:p>
    <w:p w:rsidR="00E25E36" w:rsidRDefault="00E25E36" w:rsidP="00366025">
      <w:pPr>
        <w:rPr>
          <w:rFonts w:cs="Arial"/>
          <w:b/>
          <w:spacing w:val="-3"/>
          <w:sz w:val="18"/>
          <w:szCs w:val="18"/>
        </w:rPr>
      </w:pPr>
    </w:p>
    <w:p w:rsidR="008F20EF" w:rsidRDefault="008F20EF" w:rsidP="00366025">
      <w:pPr>
        <w:rPr>
          <w:rFonts w:cs="Arial"/>
          <w:b/>
          <w:spacing w:val="-3"/>
          <w:sz w:val="18"/>
          <w:szCs w:val="18"/>
        </w:rPr>
      </w:pPr>
    </w:p>
    <w:p w:rsidR="00AE636C" w:rsidRPr="001521EB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Pr="001521EB">
        <w:rPr>
          <w:b/>
          <w:sz w:val="18"/>
          <w:szCs w:val="18"/>
        </w:rPr>
        <w:t xml:space="preserve">Import według kraju wysyłki ogółem </w:t>
      </w:r>
      <w:r w:rsidR="00E44BC0" w:rsidRPr="001521EB">
        <w:rPr>
          <w:b/>
          <w:sz w:val="18"/>
          <w:szCs w:val="18"/>
        </w:rPr>
        <w:t>i według grup krajów</w:t>
      </w:r>
    </w:p>
    <w:tbl>
      <w:tblPr>
        <w:tblW w:w="8087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51165C" w:rsidTr="008107C8">
        <w:trPr>
          <w:trHeight w:val="352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2359A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3910FE">
              <w:rPr>
                <w:rFonts w:cs="Arial"/>
                <w:sz w:val="16"/>
                <w:szCs w:val="16"/>
              </w:rPr>
              <w:t xml:space="preserve"> – </w:t>
            </w:r>
            <w:r w:rsidR="0043023F">
              <w:rPr>
                <w:rFonts w:cs="Arial"/>
                <w:sz w:val="16"/>
                <w:szCs w:val="16"/>
              </w:rPr>
              <w:t>I</w:t>
            </w:r>
            <w:r w:rsidR="000330AA">
              <w:rPr>
                <w:rFonts w:cs="Arial"/>
                <w:sz w:val="16"/>
                <w:szCs w:val="16"/>
              </w:rPr>
              <w:t>X</w:t>
            </w:r>
            <w:r w:rsidR="002359A9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FC43D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BE060A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FC43D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BE060A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FC43DA">
              <w:rPr>
                <w:rFonts w:cs="Arial"/>
                <w:sz w:val="16"/>
                <w:szCs w:val="16"/>
              </w:rPr>
              <w:t>9</w:t>
            </w:r>
          </w:p>
        </w:tc>
      </w:tr>
      <w:tr w:rsidR="00FF29C2" w:rsidRPr="0051165C" w:rsidTr="008107C8">
        <w:trPr>
          <w:trHeight w:val="370"/>
        </w:trPr>
        <w:tc>
          <w:tcPr>
            <w:tcW w:w="2268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FF29C2" w:rsidRPr="005F3D74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5F3D74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5F3D74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</w:p>
          <w:p w:rsidR="00FF29C2" w:rsidRPr="005F3D74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83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0330AA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3910FE">
              <w:rPr>
                <w:rFonts w:cs="Arial"/>
                <w:sz w:val="16"/>
                <w:szCs w:val="16"/>
              </w:rPr>
              <w:t xml:space="preserve"> – </w:t>
            </w:r>
            <w:r w:rsidR="0043023F">
              <w:rPr>
                <w:rFonts w:cs="Arial"/>
                <w:sz w:val="16"/>
                <w:szCs w:val="16"/>
              </w:rPr>
              <w:t>I</w:t>
            </w:r>
            <w:r w:rsidR="000330AA">
              <w:rPr>
                <w:rFonts w:cs="Arial"/>
                <w:sz w:val="16"/>
                <w:szCs w:val="16"/>
              </w:rPr>
              <w:t>X</w:t>
            </w:r>
            <w:r w:rsidR="002359A9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FC43DA">
              <w:rPr>
                <w:rFonts w:cs="Arial"/>
                <w:sz w:val="16"/>
                <w:szCs w:val="16"/>
              </w:rPr>
              <w:t>8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0330AA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2359A9">
              <w:rPr>
                <w:rFonts w:cs="Arial"/>
                <w:sz w:val="16"/>
                <w:szCs w:val="16"/>
              </w:rPr>
              <w:t xml:space="preserve"> – </w:t>
            </w:r>
            <w:r w:rsidR="0043023F">
              <w:rPr>
                <w:rFonts w:cs="Arial"/>
                <w:sz w:val="16"/>
                <w:szCs w:val="16"/>
              </w:rPr>
              <w:t>I</w:t>
            </w:r>
            <w:r w:rsidR="000330AA">
              <w:rPr>
                <w:rFonts w:cs="Arial"/>
                <w:sz w:val="16"/>
                <w:szCs w:val="16"/>
              </w:rPr>
              <w:t>X</w:t>
            </w:r>
            <w:r w:rsidR="002359A9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51165C" w:rsidRPr="0051165C" w:rsidTr="008107C8">
        <w:trPr>
          <w:trHeight w:val="380"/>
        </w:trPr>
        <w:tc>
          <w:tcPr>
            <w:tcW w:w="226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0330AA" w:rsidRPr="0051165C" w:rsidTr="00B72C49">
        <w:trPr>
          <w:trHeight w:val="342"/>
        </w:trPr>
        <w:tc>
          <w:tcPr>
            <w:tcW w:w="2268" w:type="dxa"/>
            <w:tcBorders>
              <w:top w:val="single" w:sz="12" w:space="0" w:color="001D77"/>
            </w:tcBorders>
            <w:vAlign w:val="center"/>
          </w:tcPr>
          <w:p w:rsidR="000330AA" w:rsidRPr="00A00ADB" w:rsidRDefault="000330AA" w:rsidP="000330AA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wysyłki)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28" w:type="dxa"/>
            <w:tcBorders>
              <w:top w:val="single" w:sz="12" w:space="0" w:color="001D77"/>
            </w:tcBorders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742,3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194,7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172,8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729" w:type="dxa"/>
            <w:tcBorders>
              <w:top w:val="single" w:sz="12" w:space="0" w:color="001D77"/>
            </w:tcBorders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0330AA" w:rsidRPr="00B72C49" w:rsidRDefault="000330AA" w:rsidP="000330A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B72C49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0330AA" w:rsidRPr="00B72C49" w:rsidRDefault="000330AA" w:rsidP="000330A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B72C49">
              <w:rPr>
                <w:b/>
                <w:sz w:val="16"/>
                <w:szCs w:val="16"/>
              </w:rPr>
              <w:t>100,0</w:t>
            </w:r>
          </w:p>
        </w:tc>
      </w:tr>
      <w:tr w:rsidR="000330AA" w:rsidRPr="0051165C" w:rsidTr="007C094B">
        <w:trPr>
          <w:trHeight w:val="352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94,9</w:t>
            </w:r>
          </w:p>
        </w:tc>
        <w:tc>
          <w:tcPr>
            <w:tcW w:w="729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73,5</w:t>
            </w:r>
          </w:p>
        </w:tc>
      </w:tr>
      <w:tr w:rsidR="000330AA" w:rsidRPr="0051165C" w:rsidTr="007C094B">
        <w:trPr>
          <w:trHeight w:val="342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w tym UE</w:t>
            </w:r>
            <w:r w:rsidRPr="0051165C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51165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510,2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133,8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729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68,7</w:t>
            </w:r>
          </w:p>
        </w:tc>
      </w:tr>
      <w:tr w:rsidR="000330AA" w:rsidRPr="0051165C" w:rsidTr="007C094B">
        <w:trPr>
          <w:trHeight w:val="352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415,1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729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57,2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55,9</w:t>
            </w:r>
          </w:p>
        </w:tc>
      </w:tr>
      <w:tr w:rsidR="000330AA" w:rsidRPr="0051165C" w:rsidTr="007C094B">
        <w:trPr>
          <w:trHeight w:val="342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134,8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120,5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29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18,2</w:t>
            </w:r>
          </w:p>
        </w:tc>
      </w:tr>
      <w:tr w:rsidR="000330AA" w:rsidRPr="0051165C" w:rsidTr="007C094B">
        <w:trPr>
          <w:trHeight w:val="355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86,3</w:t>
            </w:r>
          </w:p>
        </w:tc>
        <w:tc>
          <w:tcPr>
            <w:tcW w:w="729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8,3</w:t>
            </w:r>
          </w:p>
        </w:tc>
      </w:tr>
      <w:tr w:rsidR="000330AA" w:rsidRPr="0051165C" w:rsidTr="00055BA7">
        <w:trPr>
          <w:trHeight w:val="342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51165C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9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</w:tr>
      <w:tr w:rsidR="000330AA" w:rsidRPr="0051165C" w:rsidTr="00055BA7">
        <w:trPr>
          <w:trHeight w:val="352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9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</w:tr>
      <w:tr w:rsidR="000330AA" w:rsidRPr="0051165C" w:rsidTr="00055BA7">
        <w:trPr>
          <w:trHeight w:val="342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w tym UE</w:t>
            </w:r>
            <w:r w:rsidRPr="0051165C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51165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9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</w:tr>
      <w:tr w:rsidR="000330AA" w:rsidRPr="0051165C" w:rsidTr="00055BA7">
        <w:trPr>
          <w:trHeight w:val="313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9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</w:tr>
      <w:tr w:rsidR="000330AA" w:rsidRPr="0051165C" w:rsidTr="00055BA7">
        <w:trPr>
          <w:trHeight w:val="405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-81,4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-21,3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-19,0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9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</w:tr>
      <w:tr w:rsidR="000330AA" w:rsidRPr="0051165C" w:rsidTr="00055BA7">
        <w:trPr>
          <w:trHeight w:val="258"/>
        </w:trPr>
        <w:tc>
          <w:tcPr>
            <w:tcW w:w="2268" w:type="dxa"/>
            <w:vAlign w:val="center"/>
          </w:tcPr>
          <w:p w:rsidR="000330AA" w:rsidRPr="0051165C" w:rsidRDefault="000330AA" w:rsidP="000330AA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-17,2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-4,5</w:t>
            </w:r>
          </w:p>
        </w:tc>
        <w:tc>
          <w:tcPr>
            <w:tcW w:w="727" w:type="dxa"/>
            <w:vAlign w:val="bottom"/>
          </w:tcPr>
          <w:p w:rsidR="000330AA" w:rsidRDefault="000330AA" w:rsidP="000330AA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-4,0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9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</w:tcPr>
          <w:p w:rsidR="000330AA" w:rsidRPr="004C67E3" w:rsidRDefault="000330AA" w:rsidP="000330AA">
            <w:pPr>
              <w:spacing w:after="0"/>
              <w:jc w:val="right"/>
              <w:rPr>
                <w:sz w:val="16"/>
                <w:szCs w:val="16"/>
              </w:rPr>
            </w:pPr>
            <w:r w:rsidRPr="004C67E3">
              <w:rPr>
                <w:sz w:val="16"/>
                <w:szCs w:val="16"/>
              </w:rPr>
              <w:t>X</w:t>
            </w:r>
          </w:p>
        </w:tc>
      </w:tr>
    </w:tbl>
    <w:p w:rsidR="008F20EF" w:rsidRDefault="008F20EF" w:rsidP="0038490F">
      <w:pPr>
        <w:pStyle w:val="Nagwek1"/>
        <w:rPr>
          <w:sz w:val="18"/>
          <w:szCs w:val="18"/>
        </w:rPr>
      </w:pPr>
    </w:p>
    <w:p w:rsidR="00F71623" w:rsidRPr="008950C8" w:rsidRDefault="00F71623" w:rsidP="00F71623">
      <w:pPr>
        <w:pStyle w:val="Nagwek1"/>
        <w:rPr>
          <w:szCs w:val="19"/>
        </w:rPr>
      </w:pPr>
      <w:r w:rsidRPr="008950C8">
        <w:rPr>
          <w:szCs w:val="19"/>
        </w:rPr>
        <w:t>Import według kraju wysyłki – według krajów</w:t>
      </w:r>
    </w:p>
    <w:p w:rsidR="008935C5" w:rsidRPr="008950C8" w:rsidRDefault="009C17B6" w:rsidP="00366025">
      <w:pPr>
        <w:rPr>
          <w:b/>
          <w:noProof/>
          <w:spacing w:val="-2"/>
          <w:szCs w:val="19"/>
          <w:lang w:eastAsia="pl-PL"/>
        </w:rPr>
      </w:pPr>
      <w:r w:rsidRPr="008950C8">
        <w:rPr>
          <w:szCs w:val="19"/>
        </w:rPr>
        <w:t xml:space="preserve">Udział Niemiec w imporcie według  </w:t>
      </w:r>
      <w:r w:rsidRPr="008950C8">
        <w:rPr>
          <w:rFonts w:cs="Arial"/>
          <w:szCs w:val="19"/>
        </w:rPr>
        <w:t>kraju wysyłki</w:t>
      </w:r>
      <w:r w:rsidR="001866D5" w:rsidRPr="008950C8">
        <w:rPr>
          <w:rFonts w:cs="Arial"/>
          <w:szCs w:val="19"/>
        </w:rPr>
        <w:t>,</w:t>
      </w:r>
      <w:r w:rsidRPr="008950C8">
        <w:rPr>
          <w:rFonts w:cs="Arial"/>
          <w:szCs w:val="19"/>
        </w:rPr>
        <w:t xml:space="preserve"> </w:t>
      </w:r>
      <w:r w:rsidR="001866D5" w:rsidRPr="008950C8">
        <w:rPr>
          <w:rFonts w:cs="Arial"/>
          <w:szCs w:val="19"/>
        </w:rPr>
        <w:t xml:space="preserve">w porównaniu z </w:t>
      </w:r>
      <w:r w:rsidRPr="008950C8">
        <w:rPr>
          <w:rFonts w:cs="Arial"/>
          <w:szCs w:val="19"/>
        </w:rPr>
        <w:t>import</w:t>
      </w:r>
      <w:r w:rsidR="001866D5" w:rsidRPr="008950C8">
        <w:rPr>
          <w:rFonts w:cs="Arial"/>
          <w:szCs w:val="19"/>
        </w:rPr>
        <w:t>em</w:t>
      </w:r>
      <w:r w:rsidRPr="008950C8">
        <w:rPr>
          <w:rFonts w:cs="Arial"/>
          <w:szCs w:val="19"/>
        </w:rPr>
        <w:t xml:space="preserve"> według kraju pochodzenia</w:t>
      </w:r>
      <w:r w:rsidR="001866D5" w:rsidRPr="008950C8">
        <w:rPr>
          <w:rFonts w:cs="Arial"/>
          <w:szCs w:val="19"/>
        </w:rPr>
        <w:t>,</w:t>
      </w:r>
      <w:r w:rsidRPr="008950C8">
        <w:rPr>
          <w:rFonts w:cs="Arial"/>
          <w:szCs w:val="19"/>
        </w:rPr>
        <w:t xml:space="preserve"> </w:t>
      </w:r>
      <w:r w:rsidR="008C317D" w:rsidRPr="008950C8">
        <w:rPr>
          <w:rFonts w:cs="Arial"/>
          <w:szCs w:val="19"/>
        </w:rPr>
        <w:t>był większy</w:t>
      </w:r>
      <w:r w:rsidRPr="008950C8">
        <w:rPr>
          <w:rFonts w:cs="Arial"/>
          <w:szCs w:val="19"/>
        </w:rPr>
        <w:t xml:space="preserve"> o </w:t>
      </w:r>
      <w:r w:rsidR="0012536F" w:rsidRPr="008950C8">
        <w:rPr>
          <w:rFonts w:cs="Arial"/>
          <w:szCs w:val="19"/>
        </w:rPr>
        <w:t>5,0</w:t>
      </w:r>
      <w:r w:rsidRPr="008950C8">
        <w:rPr>
          <w:rFonts w:cs="Arial"/>
          <w:szCs w:val="19"/>
        </w:rPr>
        <w:t xml:space="preserve"> p. proc., udział Holandii odpowiednio </w:t>
      </w:r>
      <w:r w:rsidR="008C317D" w:rsidRPr="008950C8">
        <w:rPr>
          <w:rFonts w:cs="Arial"/>
          <w:szCs w:val="19"/>
        </w:rPr>
        <w:t>był większy</w:t>
      </w:r>
      <w:r w:rsidRPr="008950C8">
        <w:rPr>
          <w:rFonts w:cs="Arial"/>
          <w:szCs w:val="19"/>
        </w:rPr>
        <w:t xml:space="preserve"> o </w:t>
      </w:r>
      <w:r w:rsidR="00471416" w:rsidRPr="008950C8">
        <w:rPr>
          <w:rFonts w:cs="Arial"/>
          <w:szCs w:val="19"/>
        </w:rPr>
        <w:t>1,</w:t>
      </w:r>
      <w:r w:rsidR="001103C8" w:rsidRPr="008950C8">
        <w:rPr>
          <w:rFonts w:cs="Arial"/>
          <w:szCs w:val="19"/>
        </w:rPr>
        <w:t>8</w:t>
      </w:r>
      <w:r w:rsidR="0099454C" w:rsidRPr="008950C8">
        <w:rPr>
          <w:rFonts w:cs="Arial"/>
          <w:szCs w:val="19"/>
        </w:rPr>
        <w:t xml:space="preserve"> p. proc., </w:t>
      </w:r>
      <w:r w:rsidR="00487646" w:rsidRPr="008950C8">
        <w:rPr>
          <w:rFonts w:cs="Arial"/>
          <w:szCs w:val="19"/>
        </w:rPr>
        <w:t>Belgii o 1,</w:t>
      </w:r>
      <w:r w:rsidR="00293800" w:rsidRPr="008950C8">
        <w:rPr>
          <w:rFonts w:cs="Arial"/>
          <w:szCs w:val="19"/>
        </w:rPr>
        <w:t>4</w:t>
      </w:r>
      <w:r w:rsidR="00487646" w:rsidRPr="008950C8">
        <w:rPr>
          <w:rFonts w:cs="Arial"/>
          <w:szCs w:val="19"/>
        </w:rPr>
        <w:t xml:space="preserve"> </w:t>
      </w:r>
      <w:r w:rsidR="00FD2E48" w:rsidRPr="008950C8">
        <w:rPr>
          <w:rFonts w:cs="Arial"/>
          <w:szCs w:val="19"/>
        </w:rPr>
        <w:t xml:space="preserve">p. proc., </w:t>
      </w:r>
      <w:r w:rsidR="00293800" w:rsidRPr="008950C8">
        <w:rPr>
          <w:rFonts w:cs="Arial"/>
          <w:szCs w:val="19"/>
        </w:rPr>
        <w:t>Czech o 0,6 p. proc.</w:t>
      </w:r>
      <w:r w:rsidR="00316AB5" w:rsidRPr="008950C8">
        <w:rPr>
          <w:rFonts w:cs="Arial"/>
          <w:szCs w:val="19"/>
        </w:rPr>
        <w:t xml:space="preserve">, </w:t>
      </w:r>
      <w:r w:rsidR="0012536F" w:rsidRPr="008950C8">
        <w:rPr>
          <w:rFonts w:cs="Arial"/>
          <w:szCs w:val="19"/>
        </w:rPr>
        <w:t>a Francji o 0,3 p. proc.</w:t>
      </w:r>
    </w:p>
    <w:tbl>
      <w:tblPr>
        <w:tblpPr w:leftFromText="141" w:rightFromText="141" w:vertAnchor="page" w:horzAnchor="margin" w:tblpY="9800"/>
        <w:tblW w:w="478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8107C8" w:rsidRPr="005F3D74" w:rsidTr="00D84588">
        <w:trPr>
          <w:trHeight w:val="342"/>
        </w:trPr>
        <w:tc>
          <w:tcPr>
            <w:tcW w:w="2317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1D3EB6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I </w:t>
            </w:r>
            <w:r>
              <w:rPr>
                <w:rFonts w:cs="Arial"/>
                <w:sz w:val="16"/>
                <w:szCs w:val="16"/>
              </w:rPr>
              <w:t xml:space="preserve">– </w:t>
            </w:r>
            <w:r w:rsidR="001249C0">
              <w:rPr>
                <w:rFonts w:cs="Arial"/>
                <w:sz w:val="16"/>
                <w:szCs w:val="16"/>
              </w:rPr>
              <w:t>I</w:t>
            </w:r>
            <w:r w:rsidR="001D3EB6">
              <w:rPr>
                <w:rFonts w:cs="Arial"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19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8107C8" w:rsidRPr="005F3D74" w:rsidTr="00D84588">
        <w:trPr>
          <w:trHeight w:val="287"/>
        </w:trPr>
        <w:tc>
          <w:tcPr>
            <w:tcW w:w="2317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38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1D3EB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="001249C0">
              <w:rPr>
                <w:rFonts w:cs="Arial"/>
                <w:sz w:val="16"/>
                <w:szCs w:val="16"/>
              </w:rPr>
              <w:t>I</w:t>
            </w:r>
            <w:r w:rsidR="001D3EB6">
              <w:rPr>
                <w:rFonts w:cs="Arial"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>
              <w:rPr>
                <w:rFonts w:cs="Arial"/>
                <w:sz w:val="16"/>
                <w:szCs w:val="16"/>
              </w:rPr>
              <w:t>8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1D3EB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="001249C0">
              <w:rPr>
                <w:rFonts w:cs="Arial"/>
                <w:sz w:val="16"/>
                <w:szCs w:val="16"/>
              </w:rPr>
              <w:t>I</w:t>
            </w:r>
            <w:r w:rsidR="001D3EB6">
              <w:rPr>
                <w:rFonts w:cs="Arial"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 xml:space="preserve">      </w:t>
            </w:r>
          </w:p>
        </w:tc>
      </w:tr>
      <w:tr w:rsidR="008107C8" w:rsidRPr="005F3D74" w:rsidTr="00D84588">
        <w:trPr>
          <w:trHeight w:val="463"/>
        </w:trPr>
        <w:tc>
          <w:tcPr>
            <w:tcW w:w="23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07C8" w:rsidRPr="00366025" w:rsidTr="008107C8">
        <w:trPr>
          <w:trHeight w:val="316"/>
        </w:trPr>
        <w:tc>
          <w:tcPr>
            <w:tcW w:w="7725" w:type="dxa"/>
            <w:gridSpan w:val="9"/>
            <w:tcBorders>
              <w:top w:val="single" w:sz="12" w:space="0" w:color="001D77"/>
            </w:tcBorders>
            <w:vAlign w:val="center"/>
          </w:tcPr>
          <w:p w:rsidR="008107C8" w:rsidRPr="00366025" w:rsidRDefault="008107C8" w:rsidP="008107C8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1D3EB6" w:rsidTr="001D3EB6">
        <w:trPr>
          <w:trHeight w:val="316"/>
        </w:trPr>
        <w:tc>
          <w:tcPr>
            <w:tcW w:w="2317" w:type="dxa"/>
            <w:vAlign w:val="bottom"/>
          </w:tcPr>
          <w:p w:rsidR="001D3EB6" w:rsidRPr="0038490F" w:rsidRDefault="001D3EB6" w:rsidP="001D3EB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200,5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52,6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46,7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101,9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94,7</w:t>
            </w:r>
          </w:p>
        </w:tc>
        <w:tc>
          <w:tcPr>
            <w:tcW w:w="648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100,6</w:t>
            </w:r>
          </w:p>
        </w:tc>
        <w:tc>
          <w:tcPr>
            <w:tcW w:w="619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27,6</w:t>
            </w:r>
          </w:p>
        </w:tc>
        <w:tc>
          <w:tcPr>
            <w:tcW w:w="622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27,0</w:t>
            </w:r>
          </w:p>
        </w:tc>
      </w:tr>
      <w:tr w:rsidR="001D3EB6" w:rsidTr="001D3EB6">
        <w:trPr>
          <w:trHeight w:val="316"/>
        </w:trPr>
        <w:tc>
          <w:tcPr>
            <w:tcW w:w="2317" w:type="dxa"/>
            <w:vAlign w:val="bottom"/>
          </w:tcPr>
          <w:p w:rsidR="001D3EB6" w:rsidRPr="0038490F" w:rsidRDefault="001D3EB6" w:rsidP="001D3EB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2. Chiny  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59,6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15,6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13,9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119,3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111,0</w:t>
            </w:r>
          </w:p>
        </w:tc>
        <w:tc>
          <w:tcPr>
            <w:tcW w:w="648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117,7</w:t>
            </w:r>
          </w:p>
        </w:tc>
        <w:tc>
          <w:tcPr>
            <w:tcW w:w="619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622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</w:t>
            </w:r>
          </w:p>
        </w:tc>
      </w:tr>
      <w:tr w:rsidR="001D3EB6" w:rsidTr="001D3EB6">
        <w:trPr>
          <w:trHeight w:val="316"/>
        </w:trPr>
        <w:tc>
          <w:tcPr>
            <w:tcW w:w="2317" w:type="dxa"/>
            <w:vAlign w:val="bottom"/>
          </w:tcPr>
          <w:p w:rsidR="001D3EB6" w:rsidRPr="0038490F" w:rsidRDefault="001D3EB6" w:rsidP="001D3EB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3. Rosja 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47,0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12,3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10,9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88,1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82,0</w:t>
            </w:r>
          </w:p>
        </w:tc>
        <w:tc>
          <w:tcPr>
            <w:tcW w:w="648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87,0</w:t>
            </w:r>
          </w:p>
        </w:tc>
        <w:tc>
          <w:tcPr>
            <w:tcW w:w="619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622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</w:tr>
      <w:tr w:rsidR="001D3EB6" w:rsidTr="001D3EB6">
        <w:trPr>
          <w:trHeight w:val="316"/>
        </w:trPr>
        <w:tc>
          <w:tcPr>
            <w:tcW w:w="2317" w:type="dxa"/>
            <w:vAlign w:val="bottom"/>
          </w:tcPr>
          <w:p w:rsidR="001D3EB6" w:rsidRPr="0038490F" w:rsidRDefault="001D3EB6" w:rsidP="001D3EB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4. Holandia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40,7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10,7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9,5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101,1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93,9</w:t>
            </w:r>
          </w:p>
        </w:tc>
        <w:tc>
          <w:tcPr>
            <w:tcW w:w="648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99,8</w:t>
            </w:r>
          </w:p>
        </w:tc>
        <w:tc>
          <w:tcPr>
            <w:tcW w:w="619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</w:t>
            </w:r>
          </w:p>
        </w:tc>
        <w:tc>
          <w:tcPr>
            <w:tcW w:w="622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</w:tr>
      <w:tr w:rsidR="001D3EB6" w:rsidTr="001D3EB6">
        <w:trPr>
          <w:trHeight w:val="316"/>
        </w:trPr>
        <w:tc>
          <w:tcPr>
            <w:tcW w:w="2317" w:type="dxa"/>
            <w:vAlign w:val="bottom"/>
          </w:tcPr>
          <w:p w:rsidR="001D3EB6" w:rsidRPr="0038490F" w:rsidRDefault="001D3EB6" w:rsidP="001D3EB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5. Włochy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36,3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9,5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8,5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98,0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91,0</w:t>
            </w:r>
          </w:p>
        </w:tc>
        <w:tc>
          <w:tcPr>
            <w:tcW w:w="648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96,7</w:t>
            </w:r>
          </w:p>
        </w:tc>
        <w:tc>
          <w:tcPr>
            <w:tcW w:w="619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622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</w:tr>
      <w:tr w:rsidR="001D3EB6" w:rsidTr="001D3EB6">
        <w:trPr>
          <w:trHeight w:val="316"/>
        </w:trPr>
        <w:tc>
          <w:tcPr>
            <w:tcW w:w="2317" w:type="dxa"/>
            <w:vAlign w:val="bottom"/>
          </w:tcPr>
          <w:p w:rsidR="001D3EB6" w:rsidRPr="0038490F" w:rsidRDefault="001D3EB6" w:rsidP="001D3EB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6. Francja 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7,8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103,9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96,4</w:t>
            </w:r>
          </w:p>
        </w:tc>
        <w:tc>
          <w:tcPr>
            <w:tcW w:w="648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102,5</w:t>
            </w:r>
          </w:p>
        </w:tc>
        <w:tc>
          <w:tcPr>
            <w:tcW w:w="619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622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</w:tr>
      <w:tr w:rsidR="001D3EB6" w:rsidTr="001D3EB6">
        <w:trPr>
          <w:trHeight w:val="316"/>
        </w:trPr>
        <w:tc>
          <w:tcPr>
            <w:tcW w:w="2317" w:type="dxa"/>
            <w:vAlign w:val="bottom"/>
          </w:tcPr>
          <w:p w:rsidR="001D3EB6" w:rsidRPr="0038490F" w:rsidRDefault="001D3EB6" w:rsidP="001D3EB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7. Czechy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28,9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6,7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102,8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95,4</w:t>
            </w:r>
          </w:p>
        </w:tc>
        <w:tc>
          <w:tcPr>
            <w:tcW w:w="648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619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22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</w:tr>
      <w:tr w:rsidR="001D3EB6" w:rsidTr="001D3EB6">
        <w:trPr>
          <w:trHeight w:val="316"/>
        </w:trPr>
        <w:tc>
          <w:tcPr>
            <w:tcW w:w="2317" w:type="dxa"/>
            <w:vAlign w:val="bottom"/>
          </w:tcPr>
          <w:p w:rsidR="001D3EB6" w:rsidRPr="0038490F" w:rsidRDefault="001D3EB6" w:rsidP="001D3EB6">
            <w:pPr>
              <w:tabs>
                <w:tab w:val="left" w:leader="dot" w:pos="2381"/>
              </w:tabs>
              <w:spacing w:before="0" w:after="0"/>
              <w:ind w:right="-56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8. Belgia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27,8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7,3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6,5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99,9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92,9</w:t>
            </w:r>
          </w:p>
        </w:tc>
        <w:tc>
          <w:tcPr>
            <w:tcW w:w="648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98,6</w:t>
            </w:r>
          </w:p>
        </w:tc>
        <w:tc>
          <w:tcPr>
            <w:tcW w:w="619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22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</w:tr>
      <w:tr w:rsidR="001D3EB6" w:rsidTr="001D3EB6">
        <w:trPr>
          <w:trHeight w:val="316"/>
        </w:trPr>
        <w:tc>
          <w:tcPr>
            <w:tcW w:w="2317" w:type="dxa"/>
            <w:vAlign w:val="bottom"/>
          </w:tcPr>
          <w:p w:rsidR="001D3EB6" w:rsidRPr="0038490F" w:rsidRDefault="001D3EB6" w:rsidP="001D3EB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 xml:space="preserve"> W. Brytania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18,2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98,1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91,2</w:t>
            </w:r>
          </w:p>
        </w:tc>
        <w:tc>
          <w:tcPr>
            <w:tcW w:w="648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96,8</w:t>
            </w:r>
          </w:p>
        </w:tc>
        <w:tc>
          <w:tcPr>
            <w:tcW w:w="619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22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1D3EB6" w:rsidTr="001D3EB6">
        <w:trPr>
          <w:trHeight w:val="316"/>
        </w:trPr>
        <w:tc>
          <w:tcPr>
            <w:tcW w:w="2317" w:type="dxa"/>
            <w:vAlign w:val="bottom"/>
          </w:tcPr>
          <w:p w:rsidR="001D3EB6" w:rsidRPr="0038490F" w:rsidRDefault="001D3EB6" w:rsidP="001D3EB6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 Hiszpania 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17,9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743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106,1</w:t>
            </w:r>
          </w:p>
        </w:tc>
        <w:tc>
          <w:tcPr>
            <w:tcW w:w="645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98,5</w:t>
            </w:r>
          </w:p>
        </w:tc>
        <w:tc>
          <w:tcPr>
            <w:tcW w:w="648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104,7</w:t>
            </w:r>
          </w:p>
        </w:tc>
        <w:tc>
          <w:tcPr>
            <w:tcW w:w="619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22" w:type="dxa"/>
            <w:vAlign w:val="bottom"/>
          </w:tcPr>
          <w:p w:rsidR="001D3EB6" w:rsidRDefault="001D3EB6" w:rsidP="001D3EB6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</w:tbl>
    <w:p w:rsidR="00F71623" w:rsidRPr="008950C8" w:rsidRDefault="00F71623" w:rsidP="00F71623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8950C8">
        <w:rPr>
          <w:rFonts w:ascii="Fira Sans" w:hAnsi="Fira Sans"/>
          <w:b/>
          <w:noProof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74366AD3" wp14:editId="66AD0714">
                <wp:simplePos x="0" y="0"/>
                <wp:positionH relativeFrom="column">
                  <wp:posOffset>5264785</wp:posOffset>
                </wp:positionH>
                <wp:positionV relativeFrom="paragraph">
                  <wp:posOffset>1429331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923" w:rsidRPr="009A5C86" w:rsidRDefault="00886923" w:rsidP="003718AC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Import z Chin według kraju wysyłki w stosunku do importu według kraju pochodzenia był mniejszy o 4,3%</w:t>
                            </w:r>
                            <w:r w:rsidRPr="00A5504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6AD3" id="_x0000_s1032" type="#_x0000_t202" style="position:absolute;margin-left:414.55pt;margin-top:112.55pt;width:135.85pt;height:82.1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" filled="f" stroked="f">
                <v:textbox>
                  <w:txbxContent>
                    <w:p w:rsidR="00886923" w:rsidRPr="009A5C86" w:rsidRDefault="00886923" w:rsidP="003718AC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>
                        <w:t>Import z Chin według kraju wysyłki w stosunku do importu według kraju pochodzenia był mniejszy o 4,3%</w:t>
                      </w:r>
                      <w:r w:rsidRPr="00A5504C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950C8">
        <w:rPr>
          <w:rFonts w:ascii="Fira Sans" w:hAnsi="Fira Sans"/>
          <w:b/>
          <w:color w:val="auto"/>
          <w:sz w:val="18"/>
          <w:szCs w:val="18"/>
        </w:rPr>
        <w:t>Tablica 4. Import według kraju wysyłki – według krajów</w:t>
      </w:r>
    </w:p>
    <w:p w:rsidR="008F20EF" w:rsidRDefault="008F20EF" w:rsidP="00032C1F">
      <w:pPr>
        <w:rPr>
          <w:spacing w:val="-3"/>
          <w:szCs w:val="19"/>
        </w:rPr>
      </w:pPr>
    </w:p>
    <w:p w:rsidR="00032C1F" w:rsidRPr="003B1303" w:rsidRDefault="00E36AEC" w:rsidP="00032C1F">
      <w:pPr>
        <w:rPr>
          <w:color w:val="FF0000"/>
          <w:spacing w:val="-3"/>
          <w:szCs w:val="19"/>
        </w:rPr>
      </w:pPr>
      <w:r w:rsidRPr="003B1303">
        <w:rPr>
          <w:spacing w:val="-3"/>
          <w:szCs w:val="19"/>
        </w:rPr>
        <w:lastRenderedPageBreak/>
        <w:t>Po trzech kwartałach</w:t>
      </w:r>
      <w:r w:rsidR="00032C1F" w:rsidRPr="003B1303">
        <w:rPr>
          <w:spacing w:val="-3"/>
          <w:szCs w:val="19"/>
        </w:rPr>
        <w:t xml:space="preserve"> br. w obrotach towarowych wg nomenklatury SITC w porównaniu z </w:t>
      </w:r>
      <w:r w:rsidRPr="003B1303">
        <w:rPr>
          <w:spacing w:val="-3"/>
          <w:szCs w:val="19"/>
        </w:rPr>
        <w:t>dziewięcioma</w:t>
      </w:r>
      <w:r w:rsidR="00032C1F" w:rsidRPr="003B1303">
        <w:rPr>
          <w:spacing w:val="-3"/>
          <w:szCs w:val="19"/>
        </w:rPr>
        <w:t xml:space="preserve"> miesiącami ub. r.  odnotowano wzrost w</w:t>
      </w:r>
      <w:r w:rsidR="009B44D4" w:rsidRPr="003B1303">
        <w:rPr>
          <w:spacing w:val="-3"/>
          <w:szCs w:val="19"/>
        </w:rPr>
        <w:t xml:space="preserve"> większości</w:t>
      </w:r>
      <w:r w:rsidR="00032C1F" w:rsidRPr="003B1303">
        <w:rPr>
          <w:spacing w:val="-3"/>
          <w:szCs w:val="19"/>
        </w:rPr>
        <w:t xml:space="preserve"> sekcj</w:t>
      </w:r>
      <w:r w:rsidR="009B44D4" w:rsidRPr="003B1303">
        <w:rPr>
          <w:spacing w:val="-3"/>
          <w:szCs w:val="19"/>
        </w:rPr>
        <w:t>i</w:t>
      </w:r>
      <w:r w:rsidR="00032C1F" w:rsidRPr="003B1303">
        <w:rPr>
          <w:spacing w:val="-3"/>
          <w:szCs w:val="19"/>
        </w:rPr>
        <w:t xml:space="preserve"> towarowych.</w:t>
      </w:r>
      <w:r w:rsidR="00032C1F" w:rsidRPr="003B1303">
        <w:rPr>
          <w:color w:val="FF0000"/>
          <w:spacing w:val="-3"/>
          <w:szCs w:val="19"/>
        </w:rPr>
        <w:t xml:space="preserve"> </w:t>
      </w:r>
    </w:p>
    <w:p w:rsidR="003749BC" w:rsidRPr="003B1303" w:rsidRDefault="00032C1F" w:rsidP="003749BC">
      <w:r w:rsidRPr="003B1303">
        <w:rPr>
          <w:spacing w:val="-3"/>
          <w:szCs w:val="19"/>
        </w:rPr>
        <w:t xml:space="preserve">W eksporcie największy wzrost dotyczył olei, tłuszczów, wosków, zwierzęcych i roślinnych </w:t>
      </w:r>
      <w:r w:rsidR="003E06AE" w:rsidRPr="003B1303">
        <w:rPr>
          <w:spacing w:val="-3"/>
          <w:szCs w:val="19"/>
        </w:rPr>
        <w:t>(o 2</w:t>
      </w:r>
      <w:r w:rsidR="00CA6B4C" w:rsidRPr="003B1303">
        <w:rPr>
          <w:spacing w:val="-3"/>
          <w:szCs w:val="19"/>
        </w:rPr>
        <w:t>5</w:t>
      </w:r>
      <w:r w:rsidR="003B1303">
        <w:rPr>
          <w:spacing w:val="-3"/>
          <w:szCs w:val="19"/>
        </w:rPr>
        <w:t>,0</w:t>
      </w:r>
      <w:r w:rsidR="003E06AE" w:rsidRPr="003B1303">
        <w:rPr>
          <w:spacing w:val="-3"/>
          <w:szCs w:val="19"/>
        </w:rPr>
        <w:t xml:space="preserve">%) </w:t>
      </w:r>
      <w:r w:rsidRPr="003B1303">
        <w:rPr>
          <w:spacing w:val="-3"/>
          <w:szCs w:val="19"/>
        </w:rPr>
        <w:t>oraz napojów i tytoniu</w:t>
      </w:r>
      <w:r w:rsidR="003E06AE" w:rsidRPr="003B1303">
        <w:rPr>
          <w:spacing w:val="-3"/>
          <w:szCs w:val="19"/>
        </w:rPr>
        <w:t xml:space="preserve"> (o </w:t>
      </w:r>
      <w:r w:rsidR="00CA6B4C" w:rsidRPr="003B1303">
        <w:rPr>
          <w:spacing w:val="-3"/>
          <w:szCs w:val="19"/>
        </w:rPr>
        <w:t>1</w:t>
      </w:r>
      <w:r w:rsidR="003B1303">
        <w:rPr>
          <w:spacing w:val="-3"/>
          <w:szCs w:val="19"/>
        </w:rPr>
        <w:t>2</w:t>
      </w:r>
      <w:r w:rsidR="00CA6B4C" w:rsidRPr="003B1303">
        <w:rPr>
          <w:spacing w:val="-3"/>
          <w:szCs w:val="19"/>
        </w:rPr>
        <w:t>,</w:t>
      </w:r>
      <w:r w:rsidR="003B1303">
        <w:rPr>
          <w:spacing w:val="-3"/>
          <w:szCs w:val="19"/>
        </w:rPr>
        <w:t>2</w:t>
      </w:r>
      <w:r w:rsidR="003E06AE" w:rsidRPr="003B1303">
        <w:rPr>
          <w:spacing w:val="-3"/>
          <w:szCs w:val="19"/>
        </w:rPr>
        <w:t>%)</w:t>
      </w:r>
      <w:r w:rsidR="003749BC" w:rsidRPr="003B1303">
        <w:rPr>
          <w:spacing w:val="-3"/>
          <w:szCs w:val="19"/>
        </w:rPr>
        <w:t>, n</w:t>
      </w:r>
      <w:r w:rsidR="003E06AE" w:rsidRPr="003B1303">
        <w:rPr>
          <w:spacing w:val="-3"/>
          <w:szCs w:val="19"/>
        </w:rPr>
        <w:t>atomiast</w:t>
      </w:r>
      <w:r w:rsidR="003749BC" w:rsidRPr="003B1303">
        <w:rPr>
          <w:spacing w:val="-3"/>
          <w:szCs w:val="19"/>
        </w:rPr>
        <w:t xml:space="preserve"> </w:t>
      </w:r>
      <w:r w:rsidR="00CA6B4C" w:rsidRPr="003B1303">
        <w:rPr>
          <w:spacing w:val="-3"/>
          <w:szCs w:val="19"/>
        </w:rPr>
        <w:t>spadek</w:t>
      </w:r>
      <w:r w:rsidR="003749BC" w:rsidRPr="003B1303">
        <w:rPr>
          <w:spacing w:val="-3"/>
          <w:szCs w:val="19"/>
        </w:rPr>
        <w:t xml:space="preserve"> odnotowano w paliwach mineralnych, smarach i materiałach pokrewnych</w:t>
      </w:r>
      <w:r w:rsidR="003E06AE" w:rsidRPr="003B1303">
        <w:rPr>
          <w:spacing w:val="-3"/>
          <w:szCs w:val="19"/>
        </w:rPr>
        <w:t xml:space="preserve"> (o </w:t>
      </w:r>
      <w:r w:rsidR="003B1303">
        <w:rPr>
          <w:spacing w:val="-3"/>
          <w:szCs w:val="19"/>
        </w:rPr>
        <w:t>4,5</w:t>
      </w:r>
      <w:r w:rsidR="003E06AE" w:rsidRPr="003B1303">
        <w:rPr>
          <w:spacing w:val="-3"/>
          <w:szCs w:val="19"/>
        </w:rPr>
        <w:t>%)</w:t>
      </w:r>
      <w:r w:rsidR="003749BC" w:rsidRPr="003B1303">
        <w:rPr>
          <w:spacing w:val="-3"/>
          <w:szCs w:val="19"/>
        </w:rPr>
        <w:t xml:space="preserve">. </w:t>
      </w:r>
    </w:p>
    <w:p w:rsidR="00032C1F" w:rsidRDefault="00032C1F" w:rsidP="00032C1F">
      <w:pPr>
        <w:rPr>
          <w:spacing w:val="-3"/>
          <w:szCs w:val="19"/>
        </w:rPr>
      </w:pPr>
      <w:r w:rsidRPr="003B1303">
        <w:rPr>
          <w:spacing w:val="-3"/>
          <w:szCs w:val="19"/>
        </w:rPr>
        <w:t>W imporcie największy wzrost z</w:t>
      </w:r>
      <w:r w:rsidR="00DF0EAD" w:rsidRPr="003B1303">
        <w:rPr>
          <w:spacing w:val="-3"/>
          <w:szCs w:val="19"/>
        </w:rPr>
        <w:t xml:space="preserve">anotowano w napojach i tytoniu </w:t>
      </w:r>
      <w:r w:rsidR="003E06AE" w:rsidRPr="003B1303">
        <w:rPr>
          <w:spacing w:val="-3"/>
          <w:szCs w:val="19"/>
        </w:rPr>
        <w:t xml:space="preserve">(o </w:t>
      </w:r>
      <w:r w:rsidR="00CA6B4C" w:rsidRPr="003B1303">
        <w:rPr>
          <w:spacing w:val="-3"/>
          <w:szCs w:val="19"/>
        </w:rPr>
        <w:t>1</w:t>
      </w:r>
      <w:r w:rsidR="003E06AE" w:rsidRPr="003B1303">
        <w:rPr>
          <w:spacing w:val="-3"/>
          <w:szCs w:val="19"/>
        </w:rPr>
        <w:t>4</w:t>
      </w:r>
      <w:r w:rsidR="003B1303">
        <w:rPr>
          <w:spacing w:val="-3"/>
          <w:szCs w:val="19"/>
        </w:rPr>
        <w:t>,8</w:t>
      </w:r>
      <w:r w:rsidR="003E06AE" w:rsidRPr="003B1303">
        <w:rPr>
          <w:spacing w:val="-3"/>
          <w:szCs w:val="19"/>
        </w:rPr>
        <w:t xml:space="preserve">%) </w:t>
      </w:r>
      <w:r w:rsidRPr="003B1303">
        <w:rPr>
          <w:spacing w:val="-3"/>
          <w:szCs w:val="19"/>
        </w:rPr>
        <w:t xml:space="preserve">oraz </w:t>
      </w:r>
      <w:r w:rsidR="00132B63" w:rsidRPr="003B1303">
        <w:rPr>
          <w:spacing w:val="-3"/>
          <w:szCs w:val="19"/>
        </w:rPr>
        <w:t>różnych wyrobach przemysłowych</w:t>
      </w:r>
      <w:r w:rsidR="003E06AE">
        <w:rPr>
          <w:spacing w:val="-3"/>
          <w:szCs w:val="19"/>
        </w:rPr>
        <w:t xml:space="preserve"> (o </w:t>
      </w:r>
      <w:r w:rsidR="003B1303">
        <w:rPr>
          <w:spacing w:val="-3"/>
          <w:szCs w:val="19"/>
        </w:rPr>
        <w:t>8,4</w:t>
      </w:r>
      <w:r w:rsidR="003E06AE">
        <w:rPr>
          <w:spacing w:val="-3"/>
          <w:szCs w:val="19"/>
        </w:rPr>
        <w:t>%)</w:t>
      </w:r>
      <w:r w:rsidR="00DF0EAD">
        <w:rPr>
          <w:spacing w:val="-3"/>
          <w:szCs w:val="19"/>
        </w:rPr>
        <w:t xml:space="preserve"> natomiast spadek obserwowano w </w:t>
      </w:r>
      <w:r w:rsidR="00097DDE">
        <w:rPr>
          <w:spacing w:val="-3"/>
          <w:szCs w:val="19"/>
        </w:rPr>
        <w:t>paliwach mineralnych, smarach i materiałach pochodnych</w:t>
      </w:r>
      <w:r w:rsidR="003E06AE">
        <w:rPr>
          <w:spacing w:val="-3"/>
          <w:szCs w:val="19"/>
        </w:rPr>
        <w:t xml:space="preserve"> (o </w:t>
      </w:r>
      <w:r w:rsidR="007C58B9">
        <w:rPr>
          <w:spacing w:val="-3"/>
          <w:szCs w:val="19"/>
        </w:rPr>
        <w:t>4,6</w:t>
      </w:r>
      <w:r w:rsidR="003E06AE">
        <w:rPr>
          <w:spacing w:val="-3"/>
          <w:szCs w:val="19"/>
        </w:rPr>
        <w:t>%)</w:t>
      </w:r>
      <w:r w:rsidR="00CA6B4C">
        <w:rPr>
          <w:spacing w:val="-3"/>
          <w:szCs w:val="19"/>
        </w:rPr>
        <w:t>,</w:t>
      </w:r>
      <w:r w:rsidR="00097DDE">
        <w:rPr>
          <w:spacing w:val="-3"/>
          <w:szCs w:val="19"/>
        </w:rPr>
        <w:t xml:space="preserve"> w </w:t>
      </w:r>
      <w:r w:rsidR="00D70981">
        <w:rPr>
          <w:spacing w:val="-3"/>
          <w:szCs w:val="19"/>
        </w:rPr>
        <w:t xml:space="preserve">towarach przemysłowych </w:t>
      </w:r>
      <w:r w:rsidR="007C58B9" w:rsidRPr="00CA6B4C">
        <w:rPr>
          <w:spacing w:val="-3"/>
          <w:szCs w:val="19"/>
        </w:rPr>
        <w:t xml:space="preserve"> </w:t>
      </w:r>
      <w:r w:rsidR="00D70981">
        <w:rPr>
          <w:spacing w:val="-3"/>
          <w:szCs w:val="19"/>
        </w:rPr>
        <w:t>s</w:t>
      </w:r>
      <w:r w:rsidR="007C58B9" w:rsidRPr="00CA6B4C">
        <w:rPr>
          <w:spacing w:val="-3"/>
          <w:szCs w:val="19"/>
        </w:rPr>
        <w:t>klasyfikowan</w:t>
      </w:r>
      <w:r w:rsidR="007C58B9">
        <w:rPr>
          <w:spacing w:val="-3"/>
          <w:szCs w:val="19"/>
        </w:rPr>
        <w:t>ych</w:t>
      </w:r>
      <w:r w:rsidR="007C58B9" w:rsidRPr="00CA6B4C">
        <w:rPr>
          <w:spacing w:val="-3"/>
          <w:szCs w:val="19"/>
        </w:rPr>
        <w:t xml:space="preserve"> głównie według surowca</w:t>
      </w:r>
      <w:r w:rsidR="007C58B9">
        <w:rPr>
          <w:spacing w:val="-3"/>
          <w:szCs w:val="19"/>
        </w:rPr>
        <w:t xml:space="preserve"> (o 1,3%) </w:t>
      </w:r>
      <w:r w:rsidR="00CA6B4C">
        <w:rPr>
          <w:spacing w:val="-3"/>
          <w:szCs w:val="19"/>
        </w:rPr>
        <w:t xml:space="preserve">oraz w </w:t>
      </w:r>
      <w:r w:rsidR="007C58B9">
        <w:rPr>
          <w:spacing w:val="-3"/>
          <w:szCs w:val="19"/>
        </w:rPr>
        <w:t>surowcach niejadalnych z wyjątkiem paliw (o 1,1%)</w:t>
      </w:r>
      <w:r w:rsidR="00097DDE">
        <w:rPr>
          <w:spacing w:val="-3"/>
          <w:szCs w:val="19"/>
        </w:rPr>
        <w:t>.</w:t>
      </w:r>
    </w:p>
    <w:p w:rsidR="009B44D4" w:rsidRPr="0037765E" w:rsidRDefault="009B44D4" w:rsidP="00032C1F">
      <w:pPr>
        <w:rPr>
          <w:spacing w:val="-3"/>
          <w:szCs w:val="19"/>
        </w:rPr>
      </w:pPr>
    </w:p>
    <w:p w:rsidR="00FE08D1" w:rsidRDefault="00FE08D1" w:rsidP="004B7A56">
      <w:pPr>
        <w:rPr>
          <w:b/>
          <w:sz w:val="18"/>
          <w:szCs w:val="18"/>
        </w:rPr>
      </w:pPr>
    </w:p>
    <w:p w:rsidR="004B7A56" w:rsidRDefault="004B7A56" w:rsidP="004B7A56">
      <w:pPr>
        <w:rPr>
          <w:b/>
          <w:sz w:val="18"/>
          <w:szCs w:val="18"/>
          <w:shd w:val="clear" w:color="auto" w:fill="FFFFFF"/>
        </w:rPr>
      </w:pPr>
      <w:r w:rsidRPr="00062B95">
        <w:rPr>
          <w:b/>
          <w:sz w:val="18"/>
          <w:szCs w:val="18"/>
        </w:rPr>
        <w:t>Wykres 1.</w:t>
      </w:r>
      <w:r w:rsidRPr="00062B95">
        <w:rPr>
          <w:b/>
          <w:sz w:val="18"/>
          <w:szCs w:val="18"/>
          <w:shd w:val="clear" w:color="auto" w:fill="FFFFFF"/>
        </w:rPr>
        <w:t xml:space="preserve"> Struktura eksportu według sekcji </w:t>
      </w:r>
      <w:r w:rsidRPr="00062B95">
        <w:rPr>
          <w:b/>
          <w:szCs w:val="18"/>
          <w:shd w:val="clear" w:color="auto" w:fill="FFFFFF"/>
        </w:rPr>
        <w:t>nomenklatury</w:t>
      </w:r>
      <w:r w:rsidRPr="00062B95">
        <w:rPr>
          <w:b/>
          <w:sz w:val="18"/>
          <w:szCs w:val="18"/>
          <w:shd w:val="clear" w:color="auto" w:fill="FFFFFF"/>
        </w:rPr>
        <w:t xml:space="preserve"> SITC w okresie </w:t>
      </w:r>
      <w:r w:rsidRPr="00886923">
        <w:rPr>
          <w:b/>
          <w:sz w:val="18"/>
          <w:szCs w:val="18"/>
          <w:shd w:val="clear" w:color="auto" w:fill="FFFFFF"/>
        </w:rPr>
        <w:t xml:space="preserve">I - </w:t>
      </w:r>
      <w:r w:rsidR="009B44D4" w:rsidRPr="00886923">
        <w:rPr>
          <w:b/>
          <w:sz w:val="18"/>
          <w:szCs w:val="18"/>
          <w:shd w:val="clear" w:color="auto" w:fill="FFFFFF"/>
        </w:rPr>
        <w:t>I</w:t>
      </w:r>
      <w:r w:rsidR="006362E4" w:rsidRPr="00886923">
        <w:rPr>
          <w:b/>
          <w:sz w:val="18"/>
          <w:szCs w:val="18"/>
          <w:shd w:val="clear" w:color="auto" w:fill="FFFFFF"/>
        </w:rPr>
        <w:t>X</w:t>
      </w:r>
      <w:r w:rsidRPr="00886923">
        <w:rPr>
          <w:b/>
          <w:sz w:val="18"/>
          <w:szCs w:val="18"/>
          <w:shd w:val="clear" w:color="auto" w:fill="FFFFFF"/>
        </w:rPr>
        <w:t xml:space="preserve"> 2019 r.</w:t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  <w:bookmarkStart w:id="0" w:name="_GoBack"/>
      <w:bookmarkEnd w:id="0"/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792508" w:rsidP="003D744D">
      <w:pPr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-2432050</wp:posOffset>
            </wp:positionV>
            <wp:extent cx="5122545" cy="2543810"/>
            <wp:effectExtent l="0" t="0" r="1905" b="8890"/>
            <wp:wrapNone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4B7A56" w:rsidRPr="008950C8" w:rsidRDefault="004B7A56" w:rsidP="004B7A56">
      <w:pPr>
        <w:pStyle w:val="Nagwek1"/>
        <w:rPr>
          <w:rFonts w:ascii="Fira Sans" w:hAnsi="Fira Sans"/>
          <w:b/>
          <w:color w:val="auto"/>
          <w:sz w:val="18"/>
          <w:szCs w:val="18"/>
          <w:shd w:val="clear" w:color="auto" w:fill="FFFFFF"/>
        </w:rPr>
      </w:pPr>
      <w:r w:rsidRPr="008950C8">
        <w:rPr>
          <w:rFonts w:ascii="Fira Sans" w:hAnsi="Fira Sans"/>
          <w:b/>
          <w:color w:val="auto"/>
          <w:sz w:val="18"/>
          <w:szCs w:val="18"/>
        </w:rPr>
        <w:t>Wykres 2.</w:t>
      </w:r>
      <w:r w:rsidRPr="008950C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Struktura importu według sekcji </w:t>
      </w:r>
      <w:r w:rsidRPr="008950C8">
        <w:rPr>
          <w:rFonts w:ascii="Fira Sans" w:hAnsi="Fira Sans"/>
          <w:b/>
          <w:color w:val="auto"/>
          <w:szCs w:val="18"/>
          <w:shd w:val="clear" w:color="auto" w:fill="FFFFFF"/>
        </w:rPr>
        <w:t>nomenklatury</w:t>
      </w:r>
      <w:r w:rsidRPr="008950C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SITC w okresie I - </w:t>
      </w:r>
      <w:r w:rsidR="00F002F9" w:rsidRPr="008950C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I</w:t>
      </w:r>
      <w:r w:rsidR="00E36AEC" w:rsidRPr="008950C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X</w:t>
      </w:r>
      <w:r w:rsidRPr="008950C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2019 r.</w:t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792508" w:rsidP="003D744D">
      <w:pPr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5122545" cy="2647950"/>
            <wp:effectExtent l="0" t="0" r="190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p w:rsidR="001876B3" w:rsidRDefault="001876B3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8222" w:type="dxa"/>
        <w:tblLook w:val="04A0" w:firstRow="1" w:lastRow="0" w:firstColumn="1" w:lastColumn="0" w:noHBand="0" w:noVBand="1"/>
      </w:tblPr>
      <w:tblGrid>
        <w:gridCol w:w="4255"/>
        <w:gridCol w:w="3967"/>
      </w:tblGrid>
      <w:tr w:rsidR="000470AA" w:rsidRPr="008950C8" w:rsidTr="00881A4D">
        <w:trPr>
          <w:trHeight w:val="1912"/>
        </w:trPr>
        <w:tc>
          <w:tcPr>
            <w:tcW w:w="4255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4045B9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B92654" w:rsidRPr="00B92654" w:rsidRDefault="00B92654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B92654">
              <w:rPr>
                <w:rFonts w:ascii="Fira Sans" w:hAnsi="Fira Sans" w:cs="Arial"/>
                <w:b/>
                <w:color w:val="auto"/>
                <w:sz w:val="20"/>
              </w:rPr>
              <w:t>Aldona B. Matejak</w:t>
            </w:r>
            <w:r w:rsidRPr="00B92654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B409DC">
              <w:rPr>
                <w:rFonts w:ascii="Fira Sans" w:hAnsi="Fira Sans"/>
                <w:color w:val="auto"/>
                <w:sz w:val="20"/>
              </w:rPr>
              <w:t>22</w:t>
            </w:r>
            <w:r w:rsidR="00881A4D" w:rsidRPr="00881A4D">
              <w:rPr>
                <w:color w:val="auto"/>
                <w:sz w:val="20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34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83</w:t>
            </w:r>
          </w:p>
          <w:p w:rsidR="000470AA" w:rsidRPr="008F3638" w:rsidRDefault="000470AA" w:rsidP="00B9265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B92654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</w:t>
            </w:r>
            <w:r w:rsidRPr="006779F7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il: </w:t>
            </w:r>
            <w:hyperlink r:id="rId19" w:history="1">
              <w:r w:rsidR="00B92654" w:rsidRPr="006779F7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a.matejak@stat.gov.pl</w:t>
              </w:r>
            </w:hyperlink>
          </w:p>
        </w:tc>
        <w:tc>
          <w:tcPr>
            <w:tcW w:w="3967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52F34" w:rsidRPr="00C52F34">
              <w:rPr>
                <w:rFonts w:ascii="Fira Sans" w:hAnsi="Fira Sans"/>
                <w:b/>
                <w:color w:val="auto"/>
                <w:sz w:val="20"/>
                <w:szCs w:val="20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B409DC">
              <w:rPr>
                <w:rFonts w:ascii="Fira Sans" w:hAnsi="Fira Sans"/>
                <w:color w:val="auto"/>
                <w:sz w:val="20"/>
                <w:lang w:val="en-US"/>
              </w:rPr>
              <w:t>22</w:t>
            </w:r>
            <w:r w:rsidR="00881A4D" w:rsidRPr="00D107E8">
              <w:rPr>
                <w:color w:val="auto"/>
                <w:sz w:val="20"/>
                <w:lang w:val="en-US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608 34</w:t>
            </w:r>
            <w:r w:rsidR="009B352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409D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</w:t>
            </w:r>
            <w:r w:rsidR="00B409DC">
              <w:rPr>
                <w:rFonts w:ascii="Fira Sans" w:hAnsi="Fira Sans"/>
                <w:color w:val="auto"/>
                <w:sz w:val="20"/>
                <w:lang w:val="en-US"/>
              </w:rPr>
              <w:t xml:space="preserve"> 22</w:t>
            </w:r>
            <w:r w:rsidR="00881A4D" w:rsidRPr="00D107E8">
              <w:rPr>
                <w:color w:val="auto"/>
                <w:sz w:val="20"/>
                <w:lang w:val="en-US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608 30</w:t>
            </w:r>
            <w:r w:rsidR="009B352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A00AD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90129" w:rsidRDefault="000470AA" w:rsidP="000470AA">
      <w:pPr>
        <w:rPr>
          <w:sz w:val="20"/>
          <w:lang w:val="en-US"/>
        </w:rPr>
      </w:pPr>
    </w:p>
    <w:p w:rsidR="000470AA" w:rsidRPr="0069012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6779F7" w:rsidP="000470AA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B409DC" w:rsidRPr="006779F7">
              <w:rPr>
                <w:sz w:val="20"/>
              </w:rPr>
              <w:t>:</w:t>
            </w:r>
            <w:r w:rsidR="00B409DC">
              <w:rPr>
                <w:sz w:val="20"/>
              </w:rPr>
              <w:t xml:space="preserve"> 22 608 34 91, </w:t>
            </w:r>
            <w:r w:rsidR="000470AA" w:rsidRPr="00C91687">
              <w:rPr>
                <w:sz w:val="20"/>
              </w:rPr>
              <w:t xml:space="preserve">22 608 38 04 </w:t>
            </w:r>
          </w:p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 w:rsidRPr="00690129">
              <w:rPr>
                <w:b/>
                <w:sz w:val="20"/>
                <w:lang w:val="en-US"/>
              </w:rPr>
              <w:t>e-mail</w:t>
            </w:r>
            <w:r w:rsidRPr="006779F7">
              <w:rPr>
                <w:b/>
                <w:sz w:val="20"/>
                <w:lang w:val="en-US"/>
              </w:rPr>
              <w:t>:</w:t>
            </w:r>
            <w:r w:rsidRPr="006779F7">
              <w:rPr>
                <w:sz w:val="20"/>
                <w:lang w:val="en-US"/>
              </w:rPr>
              <w:t xml:space="preserve"> </w:t>
            </w:r>
            <w:hyperlink r:id="rId21" w:history="1">
              <w:r w:rsidRPr="00C0341F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7D3F3F">
      <w:pPr>
        <w:ind w:right="-155"/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2E05A0A0">
                <wp:simplePos x="0" y="0"/>
                <wp:positionH relativeFrom="margin">
                  <wp:posOffset>17780</wp:posOffset>
                </wp:positionH>
                <wp:positionV relativeFrom="paragraph">
                  <wp:posOffset>427355</wp:posOffset>
                </wp:positionV>
                <wp:extent cx="6451600" cy="4117340"/>
                <wp:effectExtent l="0" t="0" r="25400" b="1651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411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923" w:rsidRDefault="00886923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886923" w:rsidRPr="00A00ADB" w:rsidRDefault="00886923" w:rsidP="00AB6D25">
                            <w:pPr>
                              <w:rPr>
                                <w:b/>
                              </w:rPr>
                            </w:pPr>
                            <w:r w:rsidRPr="00A00ADB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886923" w:rsidRPr="00D70981" w:rsidRDefault="00442BFE" w:rsidP="00577171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5" w:history="1">
                              <w:r w:rsidR="00D70981" w:rsidRPr="00D7098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Rocznik Statystyczny Handlu Zagranicznego 2019</w:t>
                              </w:r>
                            </w:hyperlink>
                          </w:p>
                          <w:p w:rsidR="00886923" w:rsidRPr="006779F7" w:rsidRDefault="00442BFE" w:rsidP="00577171">
                            <w:pPr>
                              <w:rPr>
                                <w:rStyle w:val="Hipercze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886923" w:rsidRPr="006779F7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Handel Zagraniczny. Statystyka lustrzana i statystyka asymetrii</w:t>
                              </w:r>
                            </w:hyperlink>
                          </w:p>
                          <w:p w:rsidR="00886923" w:rsidRPr="006779F7" w:rsidRDefault="00886923" w:rsidP="00577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"http://stat.gov.pl/obszary-tematyczne/ceny-handel/handel/handel-zagraniczny-polska-w-unii-europejskiej,6,12.html" </w:instrText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6779F7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Handel zagraniczny. Polska w Unii Europejskiej</w:t>
                            </w:r>
                          </w:p>
                          <w:p w:rsidR="00886923" w:rsidRPr="00A00ADB" w:rsidRDefault="00886923" w:rsidP="0057717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886923" w:rsidRPr="00A00ADB" w:rsidRDefault="00886923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00AD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86923" w:rsidRPr="006779F7" w:rsidRDefault="00886923" w:rsidP="0045590E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779F7"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"http://swaid.stat.gov.pl/SitePagesDBW/HandelZagraniczny.aspx" </w:instrText>
                            </w:r>
                            <w:r w:rsidRPr="006779F7">
                              <w:fldChar w:fldCharType="separate"/>
                            </w:r>
                            <w:hyperlink r:id="rId27" w:history="1">
                              <w:r w:rsidRPr="006779F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Dziedzinowe Bazy Wiedzy Handel Zagraniczny</w:t>
                              </w:r>
                            </w:hyperlink>
                          </w:p>
                          <w:p w:rsidR="00886923" w:rsidRPr="006779F7" w:rsidRDefault="00886923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6779F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Banki i bazy danych. Handel zagraniczny</w:t>
                              </w:r>
                            </w:hyperlink>
                          </w:p>
                          <w:p w:rsidR="00886923" w:rsidRPr="00A00ADB" w:rsidRDefault="00886923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6923" w:rsidRDefault="00886923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6923" w:rsidRPr="006779F7" w:rsidRDefault="00442BFE" w:rsidP="0045590E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9" w:history="1">
                              <w:r w:rsidR="00886923" w:rsidRPr="006779F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Eksport towarów</w:t>
                              </w:r>
                            </w:hyperlink>
                          </w:p>
                          <w:p w:rsidR="00886923" w:rsidRPr="006779F7" w:rsidRDefault="00442BFE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86923" w:rsidRPr="006779F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Import towarów</w:t>
                              </w:r>
                            </w:hyperlink>
                          </w:p>
                          <w:p w:rsidR="00886923" w:rsidRPr="006779F7" w:rsidRDefault="00886923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"http://stat.gov.pl/metainformacje/slownik-pojec/pojecia-stosowane-w-statystyce-publicznej/449,pojecie.html" </w:instrText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6779F7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Saldo obrotów towarowych handlu zagranicznego</w:t>
                            </w:r>
                          </w:p>
                          <w:p w:rsidR="00886923" w:rsidRPr="00020CD4" w:rsidRDefault="00886923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020CD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886923" w:rsidRPr="00020CD4" w:rsidRDefault="00886923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204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.4pt;margin-top:33.65pt;width:508pt;height:324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" fillcolor="#f2f2f2 [3052]" strokecolor="white [3212]">
                <v:textbox>
                  <w:txbxContent>
                    <w:p w:rsidR="00886923" w:rsidRDefault="00886923" w:rsidP="00AB6D25">
                      <w:pPr>
                        <w:rPr>
                          <w:b/>
                        </w:rPr>
                      </w:pPr>
                    </w:p>
                    <w:p w:rsidR="00886923" w:rsidRPr="00A00ADB" w:rsidRDefault="00886923" w:rsidP="00AB6D25">
                      <w:pPr>
                        <w:rPr>
                          <w:b/>
                        </w:rPr>
                      </w:pPr>
                      <w:r w:rsidRPr="00A00ADB">
                        <w:rPr>
                          <w:b/>
                        </w:rPr>
                        <w:t>Powiązane opracowania</w:t>
                      </w:r>
                    </w:p>
                    <w:p w:rsidR="00886923" w:rsidRPr="00D70981" w:rsidRDefault="00D70981" w:rsidP="00577171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1" w:history="1">
                        <w:r w:rsidRPr="00D7098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Rocznik Statystycz</w:t>
                        </w:r>
                        <w:r w:rsidRPr="00D7098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n</w:t>
                        </w:r>
                        <w:r w:rsidRPr="00D7098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y Handl</w:t>
                        </w:r>
                        <w:r w:rsidRPr="00D7098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u</w:t>
                        </w:r>
                        <w:r w:rsidRPr="00D7098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 xml:space="preserve"> Zagranicznego</w:t>
                        </w:r>
                        <w:r w:rsidRPr="00D7098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 xml:space="preserve"> </w:t>
                        </w:r>
                        <w:r w:rsidRPr="00D7098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2019</w:t>
                        </w:r>
                      </w:hyperlink>
                    </w:p>
                    <w:p w:rsidR="00886923" w:rsidRPr="006779F7" w:rsidRDefault="009971AA" w:rsidP="00577171">
                      <w:pPr>
                        <w:rPr>
                          <w:rStyle w:val="Hipercze"/>
                          <w:color w:val="001D77"/>
                          <w:sz w:val="18"/>
                          <w:szCs w:val="18"/>
                        </w:rPr>
                      </w:pPr>
                      <w:hyperlink r:id="rId32" w:history="1">
                        <w:r w:rsidR="00886923" w:rsidRPr="006779F7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Handel Zagraniczny. Statystyka lustrzana i statystyka asymetrii</w:t>
                        </w:r>
                      </w:hyperlink>
                    </w:p>
                    <w:p w:rsidR="00886923" w:rsidRPr="006779F7" w:rsidRDefault="00886923" w:rsidP="00577171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"http://stat.gov.pl/obszary-tematyczne/ceny-handel/handel/handel-zagraniczny-polska-w-unii-europejskiej,6,12.html" </w:instrText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6779F7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Handel zagraniczny. Polska w Unii Europejskiej</w:t>
                      </w:r>
                    </w:p>
                    <w:p w:rsidR="00886923" w:rsidRPr="00A00ADB" w:rsidRDefault="00886923" w:rsidP="0057717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</w:p>
                    <w:p w:rsidR="00886923" w:rsidRPr="00A00ADB" w:rsidRDefault="00886923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00ADB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86923" w:rsidRPr="006779F7" w:rsidRDefault="00886923" w:rsidP="0045590E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6779F7"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"http://swaid.stat.gov.pl/SitePagesDBW/HandelZagraniczny.aspx" </w:instrText>
                      </w:r>
                      <w:r w:rsidRPr="006779F7">
                        <w:fldChar w:fldCharType="separate"/>
                      </w:r>
                      <w:hyperlink r:id="rId33" w:history="1">
                        <w:r w:rsidRPr="006779F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Dziedzinowe Bazy Wiedzy Handel Zagraniczny</w:t>
                        </w:r>
                      </w:hyperlink>
                    </w:p>
                    <w:p w:rsidR="00886923" w:rsidRPr="006779F7" w:rsidRDefault="00886923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 w:rsidRPr="006779F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Pr="006779F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Banki i bazy danych. Handel zagraniczny</w:t>
                        </w:r>
                      </w:hyperlink>
                    </w:p>
                    <w:p w:rsidR="00886923" w:rsidRPr="00A00ADB" w:rsidRDefault="00886923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6923" w:rsidRDefault="00886923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6923" w:rsidRPr="006779F7" w:rsidRDefault="009971AA" w:rsidP="0045590E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5" w:history="1">
                        <w:r w:rsidR="00886923" w:rsidRPr="006779F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Eksport towarów</w:t>
                        </w:r>
                      </w:hyperlink>
                    </w:p>
                    <w:p w:rsidR="00886923" w:rsidRPr="006779F7" w:rsidRDefault="009971AA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6" w:history="1">
                        <w:r w:rsidR="00886923" w:rsidRPr="006779F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Import towarów</w:t>
                        </w:r>
                      </w:hyperlink>
                      <w:bookmarkStart w:id="1" w:name="_GoBack"/>
                      <w:bookmarkEnd w:id="1"/>
                    </w:p>
                    <w:p w:rsidR="00886923" w:rsidRPr="006779F7" w:rsidRDefault="00886923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"http://stat.gov.pl/metainformacje/slownik-pojec/pojecia-stosowane-w-statystyce-publicznej/449,pojecie.html" </w:instrText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6779F7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Saldo obrotów towarowych handlu zagranicznego</w:t>
                      </w:r>
                    </w:p>
                    <w:p w:rsidR="00886923" w:rsidRPr="00020CD4" w:rsidRDefault="00886923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020CD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886923" w:rsidRPr="00020CD4" w:rsidRDefault="00886923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73305">
      <w:headerReference w:type="default" r:id="rId3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FE" w:rsidRDefault="00442BFE" w:rsidP="000662E2">
      <w:pPr>
        <w:spacing w:after="0" w:line="240" w:lineRule="auto"/>
      </w:pPr>
      <w:r>
        <w:separator/>
      </w:r>
    </w:p>
  </w:endnote>
  <w:endnote w:type="continuationSeparator" w:id="0">
    <w:p w:rsidR="00442BFE" w:rsidRDefault="00442BF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Cambria Math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Corbe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68634"/>
      <w:docPartObj>
        <w:docPartGallery w:val="Page Numbers (Bottom of Page)"/>
        <w:docPartUnique/>
      </w:docPartObj>
    </w:sdtPr>
    <w:sdtEndPr/>
    <w:sdtContent>
      <w:p w:rsidR="00886923" w:rsidRDefault="008869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0C8">
          <w:rPr>
            <w:noProof/>
          </w:rPr>
          <w:t>6</w:t>
        </w:r>
        <w:r>
          <w:fldChar w:fldCharType="end"/>
        </w:r>
      </w:p>
    </w:sdtContent>
  </w:sdt>
  <w:p w:rsidR="00886923" w:rsidRDefault="008869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3681"/>
      <w:docPartObj>
        <w:docPartGallery w:val="Page Numbers (Bottom of Page)"/>
        <w:docPartUnique/>
      </w:docPartObj>
    </w:sdtPr>
    <w:sdtEndPr/>
    <w:sdtContent>
      <w:p w:rsidR="00886923" w:rsidRDefault="008869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0C8">
          <w:rPr>
            <w:noProof/>
          </w:rPr>
          <w:t>1</w:t>
        </w:r>
        <w:r>
          <w:fldChar w:fldCharType="end"/>
        </w:r>
      </w:p>
    </w:sdtContent>
  </w:sdt>
  <w:p w:rsidR="00886923" w:rsidRDefault="008869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FE" w:rsidRDefault="00442BFE" w:rsidP="000662E2">
      <w:pPr>
        <w:spacing w:after="0" w:line="240" w:lineRule="auto"/>
      </w:pPr>
      <w:r>
        <w:separator/>
      </w:r>
    </w:p>
  </w:footnote>
  <w:footnote w:type="continuationSeparator" w:id="0">
    <w:p w:rsidR="00442BFE" w:rsidRDefault="00442BFE" w:rsidP="000662E2">
      <w:pPr>
        <w:spacing w:after="0" w:line="240" w:lineRule="auto"/>
      </w:pPr>
      <w:r>
        <w:continuationSeparator/>
      </w:r>
    </w:p>
  </w:footnote>
  <w:footnote w:id="1">
    <w:p w:rsidR="00886923" w:rsidRPr="006779F7" w:rsidRDefault="00886923" w:rsidP="00DD08C1">
      <w:pPr>
        <w:spacing w:before="0" w:after="0" w:line="240" w:lineRule="auto"/>
        <w:rPr>
          <w:sz w:val="16"/>
          <w:szCs w:val="16"/>
        </w:rPr>
      </w:pPr>
      <w:r w:rsidRPr="006779F7">
        <w:rPr>
          <w:sz w:val="16"/>
          <w:szCs w:val="16"/>
        </w:rPr>
        <w:t>UWAGA. Ze względu na zaokrąglenia danych, w niektórych przypadkach sumy składników mogą się nieznacznie różnić od podanych wielkości „ogółem”.</w:t>
      </w:r>
    </w:p>
    <w:p w:rsidR="00886923" w:rsidRPr="004926AC" w:rsidRDefault="00886923" w:rsidP="005F3D74">
      <w:pPr>
        <w:pStyle w:val="Tekstprzypisudolnego"/>
        <w:rPr>
          <w:sz w:val="12"/>
          <w:szCs w:val="12"/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6779F7">
        <w:rPr>
          <w:rFonts w:cs="Arial"/>
          <w:sz w:val="16"/>
          <w:szCs w:val="16"/>
        </w:rPr>
        <w:t>Zbiór danych o obrotach handlu zagranicznego ma charakter otwarty. Dane publikowane wcześniej są korygowane w miarę napływu dokumentów celnych oraz deklaracji INTRASTAT.</w:t>
      </w:r>
    </w:p>
  </w:footnote>
  <w:footnote w:id="2">
    <w:p w:rsidR="00886923" w:rsidRPr="006779F7" w:rsidRDefault="00886923" w:rsidP="0043023F">
      <w:pPr>
        <w:pStyle w:val="Tekstprzypisudolnego"/>
        <w:rPr>
          <w:sz w:val="16"/>
          <w:szCs w:val="16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Import według </w:t>
      </w:r>
      <w:r w:rsidRPr="006779F7">
        <w:rPr>
          <w:rFonts w:cs="Arial"/>
          <w:sz w:val="16"/>
          <w:szCs w:val="16"/>
        </w:rPr>
        <w:t>kraju pochodzenia - kraj, w którym towar został wytworzony, obrobiony lub przerobiony i w tym stanie nadszedł do polskiego obszaru celnego.</w:t>
      </w:r>
    </w:p>
  </w:footnote>
  <w:footnote w:id="3">
    <w:p w:rsidR="00886923" w:rsidRPr="008950C8" w:rsidRDefault="00886923" w:rsidP="00133770">
      <w:pPr>
        <w:pStyle w:val="tekstzboku"/>
        <w:spacing w:before="0" w:line="180" w:lineRule="exact"/>
        <w:rPr>
          <w:sz w:val="16"/>
          <w:szCs w:val="16"/>
        </w:rPr>
      </w:pPr>
      <w:r w:rsidRPr="008950C8">
        <w:rPr>
          <w:rStyle w:val="Odwoanieprzypisudolnego"/>
          <w:color w:val="auto"/>
          <w:sz w:val="16"/>
          <w:szCs w:val="16"/>
        </w:rPr>
        <w:footnoteRef/>
      </w:r>
      <w:r w:rsidRPr="008950C8">
        <w:rPr>
          <w:color w:val="auto"/>
          <w:sz w:val="16"/>
          <w:szCs w:val="16"/>
        </w:rPr>
        <w:t xml:space="preserve"> Import według </w:t>
      </w:r>
      <w:r w:rsidRPr="008950C8">
        <w:rPr>
          <w:rFonts w:cs="Arial"/>
          <w:color w:val="auto"/>
          <w:sz w:val="16"/>
          <w:szCs w:val="16"/>
        </w:rPr>
        <w:t xml:space="preserve">kraju wysyłki - </w:t>
      </w:r>
      <w:r w:rsidRPr="008950C8">
        <w:rPr>
          <w:rFonts w:eastAsia="Calibri" w:cs="Arial"/>
          <w:color w:val="auto"/>
          <w:sz w:val="16"/>
          <w:szCs w:val="16"/>
        </w:rPr>
        <w:t>kraj, z którego terytorium zostały wprowadzone towary na obszar Polski</w:t>
      </w:r>
      <w:r w:rsidRPr="008950C8">
        <w:rPr>
          <w:rFonts w:cs="Arial"/>
          <w:color w:val="auto"/>
          <w:sz w:val="16"/>
          <w:szCs w:val="16"/>
        </w:rPr>
        <w:t xml:space="preserve"> bez względu  na ich pochodzenie</w:t>
      </w:r>
      <w:r w:rsidRPr="008950C8">
        <w:rPr>
          <w:color w:val="auto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23" w:rsidRDefault="0088692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87F210" wp14:editId="5F87F21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9058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886923" w:rsidRDefault="008869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23" w:rsidRDefault="00886923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87F212" wp14:editId="5F87F2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6923" w:rsidRPr="003C6C8D" w:rsidRDefault="008869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7F212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886923" w:rsidRPr="003C6C8D" w:rsidRDefault="008869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87F214" wp14:editId="5F87F215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E7631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F87F216" wp14:editId="5F87F217">
          <wp:extent cx="1153274" cy="720000"/>
          <wp:effectExtent l="0" t="0" r="0" b="4445"/>
          <wp:docPr id="15" name="Obraz 1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923" w:rsidRDefault="00886923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87F218" wp14:editId="5F87F21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6923" w:rsidRPr="00C97596" w:rsidRDefault="00886923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00032"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.11.2019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7F21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886923" w:rsidRPr="00C97596" w:rsidRDefault="00886923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00032"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.11.2019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23" w:rsidRDefault="00886923">
    <w:pPr>
      <w:pStyle w:val="Nagwek"/>
    </w:pPr>
  </w:p>
  <w:p w:rsidR="00886923" w:rsidRDefault="008869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2.95pt;height:125pt;visibility:visible;mso-wrap-style:square" o:bullet="t">
        <v:imagedata r:id="rId1" o:title=""/>
      </v:shape>
    </w:pict>
  </w:numPicBullet>
  <w:numPicBullet w:numPicBulletId="1">
    <w:pict>
      <v:shape id="_x0000_i1039" type="#_x0000_t75" style="width:123.6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3A6"/>
    <w:rsid w:val="000108B8"/>
    <w:rsid w:val="000152F5"/>
    <w:rsid w:val="000167EE"/>
    <w:rsid w:val="00017EBA"/>
    <w:rsid w:val="00020CD4"/>
    <w:rsid w:val="00026F61"/>
    <w:rsid w:val="00032C1F"/>
    <w:rsid w:val="000330AA"/>
    <w:rsid w:val="00036E65"/>
    <w:rsid w:val="00042C5D"/>
    <w:rsid w:val="0004582E"/>
    <w:rsid w:val="00045AE7"/>
    <w:rsid w:val="000470AA"/>
    <w:rsid w:val="00055BA7"/>
    <w:rsid w:val="00057CA1"/>
    <w:rsid w:val="00061882"/>
    <w:rsid w:val="00062B95"/>
    <w:rsid w:val="000662E2"/>
    <w:rsid w:val="00066883"/>
    <w:rsid w:val="000709C0"/>
    <w:rsid w:val="00074DD8"/>
    <w:rsid w:val="000757CE"/>
    <w:rsid w:val="00076A47"/>
    <w:rsid w:val="000806F7"/>
    <w:rsid w:val="0008639F"/>
    <w:rsid w:val="000877D5"/>
    <w:rsid w:val="00091E91"/>
    <w:rsid w:val="00097DDE"/>
    <w:rsid w:val="000A1EEF"/>
    <w:rsid w:val="000A52DD"/>
    <w:rsid w:val="000B0727"/>
    <w:rsid w:val="000B3A5D"/>
    <w:rsid w:val="000B3CED"/>
    <w:rsid w:val="000B6C36"/>
    <w:rsid w:val="000C1304"/>
    <w:rsid w:val="000C135D"/>
    <w:rsid w:val="000C1736"/>
    <w:rsid w:val="000D0472"/>
    <w:rsid w:val="000D1D43"/>
    <w:rsid w:val="000D225C"/>
    <w:rsid w:val="000D2A5C"/>
    <w:rsid w:val="000D40B2"/>
    <w:rsid w:val="000E0918"/>
    <w:rsid w:val="000F0682"/>
    <w:rsid w:val="000F0ADB"/>
    <w:rsid w:val="000F0CF3"/>
    <w:rsid w:val="001011C3"/>
    <w:rsid w:val="001051ED"/>
    <w:rsid w:val="00107F69"/>
    <w:rsid w:val="001103C8"/>
    <w:rsid w:val="00110D87"/>
    <w:rsid w:val="001146CE"/>
    <w:rsid w:val="00114DB9"/>
    <w:rsid w:val="00116087"/>
    <w:rsid w:val="001249C0"/>
    <w:rsid w:val="00125191"/>
    <w:rsid w:val="0012536F"/>
    <w:rsid w:val="00130296"/>
    <w:rsid w:val="00132B63"/>
    <w:rsid w:val="00133770"/>
    <w:rsid w:val="001423B6"/>
    <w:rsid w:val="001440E1"/>
    <w:rsid w:val="001448A7"/>
    <w:rsid w:val="00146621"/>
    <w:rsid w:val="001478E5"/>
    <w:rsid w:val="00150575"/>
    <w:rsid w:val="001521EB"/>
    <w:rsid w:val="00152273"/>
    <w:rsid w:val="001527EB"/>
    <w:rsid w:val="00162325"/>
    <w:rsid w:val="0017078D"/>
    <w:rsid w:val="00183104"/>
    <w:rsid w:val="00185BAA"/>
    <w:rsid w:val="001866D5"/>
    <w:rsid w:val="001876B3"/>
    <w:rsid w:val="001951DA"/>
    <w:rsid w:val="001B232A"/>
    <w:rsid w:val="001C21E8"/>
    <w:rsid w:val="001C2C90"/>
    <w:rsid w:val="001C3269"/>
    <w:rsid w:val="001C3CA0"/>
    <w:rsid w:val="001D111C"/>
    <w:rsid w:val="001D1DB4"/>
    <w:rsid w:val="001D2F4A"/>
    <w:rsid w:val="001D3D88"/>
    <w:rsid w:val="001D3EB6"/>
    <w:rsid w:val="001D5C53"/>
    <w:rsid w:val="00206276"/>
    <w:rsid w:val="00206A18"/>
    <w:rsid w:val="0021324D"/>
    <w:rsid w:val="0021507D"/>
    <w:rsid w:val="002313C5"/>
    <w:rsid w:val="00233D8A"/>
    <w:rsid w:val="002359A9"/>
    <w:rsid w:val="00235ACD"/>
    <w:rsid w:val="00240783"/>
    <w:rsid w:val="00246534"/>
    <w:rsid w:val="002574F9"/>
    <w:rsid w:val="00257543"/>
    <w:rsid w:val="0027314E"/>
    <w:rsid w:val="0027447B"/>
    <w:rsid w:val="0027462D"/>
    <w:rsid w:val="00276811"/>
    <w:rsid w:val="0027751B"/>
    <w:rsid w:val="00277A49"/>
    <w:rsid w:val="00277A82"/>
    <w:rsid w:val="00281974"/>
    <w:rsid w:val="00282699"/>
    <w:rsid w:val="0028458E"/>
    <w:rsid w:val="002926DF"/>
    <w:rsid w:val="00293800"/>
    <w:rsid w:val="00296697"/>
    <w:rsid w:val="002A0DB5"/>
    <w:rsid w:val="002A2450"/>
    <w:rsid w:val="002A29DF"/>
    <w:rsid w:val="002A67F5"/>
    <w:rsid w:val="002A744A"/>
    <w:rsid w:val="002B0472"/>
    <w:rsid w:val="002B0F39"/>
    <w:rsid w:val="002B6B12"/>
    <w:rsid w:val="002C7389"/>
    <w:rsid w:val="002D45CF"/>
    <w:rsid w:val="002E14D1"/>
    <w:rsid w:val="002E6140"/>
    <w:rsid w:val="002E6985"/>
    <w:rsid w:val="002E71B6"/>
    <w:rsid w:val="002F2768"/>
    <w:rsid w:val="002F77C8"/>
    <w:rsid w:val="00304F22"/>
    <w:rsid w:val="00306C7C"/>
    <w:rsid w:val="00316AB5"/>
    <w:rsid w:val="0032060E"/>
    <w:rsid w:val="00320D7D"/>
    <w:rsid w:val="003216C9"/>
    <w:rsid w:val="0032239E"/>
    <w:rsid w:val="00322EDD"/>
    <w:rsid w:val="00325007"/>
    <w:rsid w:val="0032506F"/>
    <w:rsid w:val="00326316"/>
    <w:rsid w:val="00332320"/>
    <w:rsid w:val="0033544C"/>
    <w:rsid w:val="00341E6A"/>
    <w:rsid w:val="003457C3"/>
    <w:rsid w:val="00345F7C"/>
    <w:rsid w:val="00347D72"/>
    <w:rsid w:val="003538DC"/>
    <w:rsid w:val="00357611"/>
    <w:rsid w:val="00361DB6"/>
    <w:rsid w:val="00366025"/>
    <w:rsid w:val="00367237"/>
    <w:rsid w:val="0037077F"/>
    <w:rsid w:val="003718AC"/>
    <w:rsid w:val="00371FC0"/>
    <w:rsid w:val="00373882"/>
    <w:rsid w:val="003749BC"/>
    <w:rsid w:val="0037765E"/>
    <w:rsid w:val="00380ACD"/>
    <w:rsid w:val="00380F5A"/>
    <w:rsid w:val="0038341F"/>
    <w:rsid w:val="003843DB"/>
    <w:rsid w:val="0038490F"/>
    <w:rsid w:val="00385406"/>
    <w:rsid w:val="003910FE"/>
    <w:rsid w:val="00393761"/>
    <w:rsid w:val="00396811"/>
    <w:rsid w:val="00397D18"/>
    <w:rsid w:val="003A1B36"/>
    <w:rsid w:val="003A6F6A"/>
    <w:rsid w:val="003A7475"/>
    <w:rsid w:val="003B1303"/>
    <w:rsid w:val="003B1454"/>
    <w:rsid w:val="003B2C69"/>
    <w:rsid w:val="003C491B"/>
    <w:rsid w:val="003C59E0"/>
    <w:rsid w:val="003C6B82"/>
    <w:rsid w:val="003C6C8D"/>
    <w:rsid w:val="003D23E6"/>
    <w:rsid w:val="003D4F95"/>
    <w:rsid w:val="003D5F42"/>
    <w:rsid w:val="003D60A9"/>
    <w:rsid w:val="003D744D"/>
    <w:rsid w:val="003E06AE"/>
    <w:rsid w:val="003E0EA7"/>
    <w:rsid w:val="003F3D8F"/>
    <w:rsid w:val="003F4C97"/>
    <w:rsid w:val="003F4E15"/>
    <w:rsid w:val="003F7FE6"/>
    <w:rsid w:val="00400032"/>
    <w:rsid w:val="00400193"/>
    <w:rsid w:val="00403C1A"/>
    <w:rsid w:val="004045B9"/>
    <w:rsid w:val="00404EF4"/>
    <w:rsid w:val="00411B7F"/>
    <w:rsid w:val="00411C0A"/>
    <w:rsid w:val="00415EEB"/>
    <w:rsid w:val="00420CC6"/>
    <w:rsid w:val="004212E7"/>
    <w:rsid w:val="0042446D"/>
    <w:rsid w:val="00424EA5"/>
    <w:rsid w:val="004260F2"/>
    <w:rsid w:val="0042788C"/>
    <w:rsid w:val="00427BF8"/>
    <w:rsid w:val="0043023F"/>
    <w:rsid w:val="00431C02"/>
    <w:rsid w:val="00434D16"/>
    <w:rsid w:val="00436B8E"/>
    <w:rsid w:val="00437395"/>
    <w:rsid w:val="004376C1"/>
    <w:rsid w:val="00442BFE"/>
    <w:rsid w:val="00442FC5"/>
    <w:rsid w:val="00445047"/>
    <w:rsid w:val="0044566C"/>
    <w:rsid w:val="00450885"/>
    <w:rsid w:val="0045590E"/>
    <w:rsid w:val="00455BDD"/>
    <w:rsid w:val="004633F8"/>
    <w:rsid w:val="00463E39"/>
    <w:rsid w:val="004657FC"/>
    <w:rsid w:val="0046619C"/>
    <w:rsid w:val="00471416"/>
    <w:rsid w:val="004715EC"/>
    <w:rsid w:val="004733F6"/>
    <w:rsid w:val="00474E69"/>
    <w:rsid w:val="00476D65"/>
    <w:rsid w:val="004822B4"/>
    <w:rsid w:val="0048231B"/>
    <w:rsid w:val="00482378"/>
    <w:rsid w:val="00483835"/>
    <w:rsid w:val="0048721F"/>
    <w:rsid w:val="00487646"/>
    <w:rsid w:val="00490CCF"/>
    <w:rsid w:val="004921B7"/>
    <w:rsid w:val="004926AC"/>
    <w:rsid w:val="004931B7"/>
    <w:rsid w:val="0049621B"/>
    <w:rsid w:val="004962BE"/>
    <w:rsid w:val="00497A8D"/>
    <w:rsid w:val="004A2906"/>
    <w:rsid w:val="004A29AD"/>
    <w:rsid w:val="004A3208"/>
    <w:rsid w:val="004A71D1"/>
    <w:rsid w:val="004B2FBB"/>
    <w:rsid w:val="004B3135"/>
    <w:rsid w:val="004B64A7"/>
    <w:rsid w:val="004B7A56"/>
    <w:rsid w:val="004C1895"/>
    <w:rsid w:val="004C2598"/>
    <w:rsid w:val="004C67E3"/>
    <w:rsid w:val="004C6D40"/>
    <w:rsid w:val="004D02B5"/>
    <w:rsid w:val="004D100F"/>
    <w:rsid w:val="004E2FFE"/>
    <w:rsid w:val="004F0C3C"/>
    <w:rsid w:val="004F1349"/>
    <w:rsid w:val="004F396B"/>
    <w:rsid w:val="004F39A5"/>
    <w:rsid w:val="004F4BB0"/>
    <w:rsid w:val="004F5D89"/>
    <w:rsid w:val="004F63FC"/>
    <w:rsid w:val="004F68CF"/>
    <w:rsid w:val="00500AE5"/>
    <w:rsid w:val="00504FF0"/>
    <w:rsid w:val="00505A92"/>
    <w:rsid w:val="0051165C"/>
    <w:rsid w:val="00514E23"/>
    <w:rsid w:val="005203F1"/>
    <w:rsid w:val="00521BC3"/>
    <w:rsid w:val="00533632"/>
    <w:rsid w:val="005344A0"/>
    <w:rsid w:val="005354A1"/>
    <w:rsid w:val="00535E77"/>
    <w:rsid w:val="00542062"/>
    <w:rsid w:val="0054251F"/>
    <w:rsid w:val="00550618"/>
    <w:rsid w:val="005516EE"/>
    <w:rsid w:val="005520D8"/>
    <w:rsid w:val="005549A9"/>
    <w:rsid w:val="00556232"/>
    <w:rsid w:val="005567A8"/>
    <w:rsid w:val="00556A37"/>
    <w:rsid w:val="00556CF1"/>
    <w:rsid w:val="00557D1E"/>
    <w:rsid w:val="00557EBD"/>
    <w:rsid w:val="0057408C"/>
    <w:rsid w:val="005762A7"/>
    <w:rsid w:val="00577171"/>
    <w:rsid w:val="00577D1B"/>
    <w:rsid w:val="00582A71"/>
    <w:rsid w:val="00585385"/>
    <w:rsid w:val="00586936"/>
    <w:rsid w:val="00586CD0"/>
    <w:rsid w:val="005916D7"/>
    <w:rsid w:val="005A698C"/>
    <w:rsid w:val="005A729A"/>
    <w:rsid w:val="005B60E0"/>
    <w:rsid w:val="005C31D1"/>
    <w:rsid w:val="005C3C14"/>
    <w:rsid w:val="005C40DB"/>
    <w:rsid w:val="005C4762"/>
    <w:rsid w:val="005C4C4F"/>
    <w:rsid w:val="005C5358"/>
    <w:rsid w:val="005D4CB0"/>
    <w:rsid w:val="005E0799"/>
    <w:rsid w:val="005E67F5"/>
    <w:rsid w:val="005E711B"/>
    <w:rsid w:val="005E76AC"/>
    <w:rsid w:val="005F0F6A"/>
    <w:rsid w:val="005F30B8"/>
    <w:rsid w:val="005F39A7"/>
    <w:rsid w:val="005F3D74"/>
    <w:rsid w:val="005F5A80"/>
    <w:rsid w:val="00603F82"/>
    <w:rsid w:val="006044FF"/>
    <w:rsid w:val="00607CC5"/>
    <w:rsid w:val="0061112C"/>
    <w:rsid w:val="00614ABB"/>
    <w:rsid w:val="0062279C"/>
    <w:rsid w:val="00633014"/>
    <w:rsid w:val="0063437B"/>
    <w:rsid w:val="006362E4"/>
    <w:rsid w:val="006401A1"/>
    <w:rsid w:val="00642CCB"/>
    <w:rsid w:val="0065337E"/>
    <w:rsid w:val="006537F5"/>
    <w:rsid w:val="00654F9B"/>
    <w:rsid w:val="00657AC6"/>
    <w:rsid w:val="00663560"/>
    <w:rsid w:val="00663BFE"/>
    <w:rsid w:val="006646E5"/>
    <w:rsid w:val="00664C1E"/>
    <w:rsid w:val="00665A78"/>
    <w:rsid w:val="006665C3"/>
    <w:rsid w:val="006673CA"/>
    <w:rsid w:val="0067188D"/>
    <w:rsid w:val="00673305"/>
    <w:rsid w:val="00673C26"/>
    <w:rsid w:val="0067455E"/>
    <w:rsid w:val="0067678F"/>
    <w:rsid w:val="006779F7"/>
    <w:rsid w:val="006812AF"/>
    <w:rsid w:val="00682774"/>
    <w:rsid w:val="0068327D"/>
    <w:rsid w:val="006835A6"/>
    <w:rsid w:val="00690129"/>
    <w:rsid w:val="00694AF0"/>
    <w:rsid w:val="006A215D"/>
    <w:rsid w:val="006A673E"/>
    <w:rsid w:val="006A7B80"/>
    <w:rsid w:val="006B0E9E"/>
    <w:rsid w:val="006B3EE4"/>
    <w:rsid w:val="006B53C4"/>
    <w:rsid w:val="006B5AE4"/>
    <w:rsid w:val="006B7487"/>
    <w:rsid w:val="006C57ED"/>
    <w:rsid w:val="006D31C0"/>
    <w:rsid w:val="006D4054"/>
    <w:rsid w:val="006E02EC"/>
    <w:rsid w:val="006E784E"/>
    <w:rsid w:val="006F6C73"/>
    <w:rsid w:val="00701D51"/>
    <w:rsid w:val="0070265D"/>
    <w:rsid w:val="00712DB0"/>
    <w:rsid w:val="007160CA"/>
    <w:rsid w:val="007211B1"/>
    <w:rsid w:val="00721B2E"/>
    <w:rsid w:val="00721D0A"/>
    <w:rsid w:val="00722AB9"/>
    <w:rsid w:val="0072766B"/>
    <w:rsid w:val="00727D29"/>
    <w:rsid w:val="007324AA"/>
    <w:rsid w:val="007354FD"/>
    <w:rsid w:val="00743D83"/>
    <w:rsid w:val="00744F3A"/>
    <w:rsid w:val="00746187"/>
    <w:rsid w:val="007476ED"/>
    <w:rsid w:val="0076254F"/>
    <w:rsid w:val="007706C7"/>
    <w:rsid w:val="00772D14"/>
    <w:rsid w:val="00773E91"/>
    <w:rsid w:val="007801F5"/>
    <w:rsid w:val="00783CA4"/>
    <w:rsid w:val="007842FB"/>
    <w:rsid w:val="00786124"/>
    <w:rsid w:val="007906BE"/>
    <w:rsid w:val="00792508"/>
    <w:rsid w:val="0079514B"/>
    <w:rsid w:val="0079518C"/>
    <w:rsid w:val="007A2DC1"/>
    <w:rsid w:val="007A43AE"/>
    <w:rsid w:val="007C094B"/>
    <w:rsid w:val="007C58B9"/>
    <w:rsid w:val="007C5BFA"/>
    <w:rsid w:val="007D3319"/>
    <w:rsid w:val="007D335D"/>
    <w:rsid w:val="007D3F3F"/>
    <w:rsid w:val="007D6BC4"/>
    <w:rsid w:val="007E035E"/>
    <w:rsid w:val="007E3314"/>
    <w:rsid w:val="007E3777"/>
    <w:rsid w:val="007E3795"/>
    <w:rsid w:val="007E4B03"/>
    <w:rsid w:val="007E745C"/>
    <w:rsid w:val="007F324B"/>
    <w:rsid w:val="0080296F"/>
    <w:rsid w:val="00802EA8"/>
    <w:rsid w:val="008034A9"/>
    <w:rsid w:val="0080553C"/>
    <w:rsid w:val="00805B46"/>
    <w:rsid w:val="00807E55"/>
    <w:rsid w:val="008107C8"/>
    <w:rsid w:val="0081655E"/>
    <w:rsid w:val="00823DBA"/>
    <w:rsid w:val="00825DC2"/>
    <w:rsid w:val="00825F5C"/>
    <w:rsid w:val="00832FBE"/>
    <w:rsid w:val="00833E1C"/>
    <w:rsid w:val="00834AD3"/>
    <w:rsid w:val="0084092E"/>
    <w:rsid w:val="00843795"/>
    <w:rsid w:val="008443C6"/>
    <w:rsid w:val="00847F0F"/>
    <w:rsid w:val="00852448"/>
    <w:rsid w:val="008530CF"/>
    <w:rsid w:val="008649C0"/>
    <w:rsid w:val="00864AF5"/>
    <w:rsid w:val="008720A0"/>
    <w:rsid w:val="00881A4D"/>
    <w:rsid w:val="0088258A"/>
    <w:rsid w:val="00886332"/>
    <w:rsid w:val="00886923"/>
    <w:rsid w:val="00887BD4"/>
    <w:rsid w:val="008935C5"/>
    <w:rsid w:val="008950C8"/>
    <w:rsid w:val="008A10A2"/>
    <w:rsid w:val="008A26D9"/>
    <w:rsid w:val="008A2AAB"/>
    <w:rsid w:val="008A38D0"/>
    <w:rsid w:val="008A5AF9"/>
    <w:rsid w:val="008A697A"/>
    <w:rsid w:val="008B4B4D"/>
    <w:rsid w:val="008C0BEF"/>
    <w:rsid w:val="008C0C29"/>
    <w:rsid w:val="008C317D"/>
    <w:rsid w:val="008C3310"/>
    <w:rsid w:val="008E4435"/>
    <w:rsid w:val="008F20EF"/>
    <w:rsid w:val="008F3638"/>
    <w:rsid w:val="008F6F31"/>
    <w:rsid w:val="008F74DF"/>
    <w:rsid w:val="0090441A"/>
    <w:rsid w:val="00905115"/>
    <w:rsid w:val="0090586A"/>
    <w:rsid w:val="00907540"/>
    <w:rsid w:val="009127BA"/>
    <w:rsid w:val="009127E7"/>
    <w:rsid w:val="009140EB"/>
    <w:rsid w:val="00916E7F"/>
    <w:rsid w:val="00921F50"/>
    <w:rsid w:val="009227A6"/>
    <w:rsid w:val="00922F19"/>
    <w:rsid w:val="009317BB"/>
    <w:rsid w:val="00932408"/>
    <w:rsid w:val="00932D33"/>
    <w:rsid w:val="00933EC1"/>
    <w:rsid w:val="00935A2E"/>
    <w:rsid w:val="00947486"/>
    <w:rsid w:val="00951F4F"/>
    <w:rsid w:val="009530DB"/>
    <w:rsid w:val="00953676"/>
    <w:rsid w:val="00955FF5"/>
    <w:rsid w:val="009575EC"/>
    <w:rsid w:val="00966AF0"/>
    <w:rsid w:val="00966E82"/>
    <w:rsid w:val="00967265"/>
    <w:rsid w:val="009705EE"/>
    <w:rsid w:val="00977927"/>
    <w:rsid w:val="0098135C"/>
    <w:rsid w:val="0098156A"/>
    <w:rsid w:val="00982B24"/>
    <w:rsid w:val="00984585"/>
    <w:rsid w:val="00987042"/>
    <w:rsid w:val="00987449"/>
    <w:rsid w:val="00987A98"/>
    <w:rsid w:val="00991BAC"/>
    <w:rsid w:val="00992926"/>
    <w:rsid w:val="00992930"/>
    <w:rsid w:val="0099454C"/>
    <w:rsid w:val="009949DA"/>
    <w:rsid w:val="009971AA"/>
    <w:rsid w:val="009A0646"/>
    <w:rsid w:val="009A0F70"/>
    <w:rsid w:val="009A39CF"/>
    <w:rsid w:val="009A5C86"/>
    <w:rsid w:val="009A6EA0"/>
    <w:rsid w:val="009B122A"/>
    <w:rsid w:val="009B14E6"/>
    <w:rsid w:val="009B3523"/>
    <w:rsid w:val="009B44D4"/>
    <w:rsid w:val="009C1335"/>
    <w:rsid w:val="009C17B6"/>
    <w:rsid w:val="009C1AB2"/>
    <w:rsid w:val="009C3D37"/>
    <w:rsid w:val="009C5A21"/>
    <w:rsid w:val="009C5D06"/>
    <w:rsid w:val="009C7251"/>
    <w:rsid w:val="009D0070"/>
    <w:rsid w:val="009D1900"/>
    <w:rsid w:val="009D3B83"/>
    <w:rsid w:val="009D6D75"/>
    <w:rsid w:val="009E2E91"/>
    <w:rsid w:val="009E31C1"/>
    <w:rsid w:val="009E397A"/>
    <w:rsid w:val="009F21D8"/>
    <w:rsid w:val="009F50B3"/>
    <w:rsid w:val="009F59A3"/>
    <w:rsid w:val="00A00ADB"/>
    <w:rsid w:val="00A04D4B"/>
    <w:rsid w:val="00A05404"/>
    <w:rsid w:val="00A139F5"/>
    <w:rsid w:val="00A1510C"/>
    <w:rsid w:val="00A1647A"/>
    <w:rsid w:val="00A165B0"/>
    <w:rsid w:val="00A26BFE"/>
    <w:rsid w:val="00A365F4"/>
    <w:rsid w:val="00A416B1"/>
    <w:rsid w:val="00A44ACB"/>
    <w:rsid w:val="00A44C71"/>
    <w:rsid w:val="00A45156"/>
    <w:rsid w:val="00A47D80"/>
    <w:rsid w:val="00A52A97"/>
    <w:rsid w:val="00A53132"/>
    <w:rsid w:val="00A5504C"/>
    <w:rsid w:val="00A563F2"/>
    <w:rsid w:val="00A566E8"/>
    <w:rsid w:val="00A62DF9"/>
    <w:rsid w:val="00A66EF2"/>
    <w:rsid w:val="00A77F02"/>
    <w:rsid w:val="00A810F9"/>
    <w:rsid w:val="00A81F44"/>
    <w:rsid w:val="00A83658"/>
    <w:rsid w:val="00A844E6"/>
    <w:rsid w:val="00A86ECC"/>
    <w:rsid w:val="00A86EFC"/>
    <w:rsid w:val="00A86FCC"/>
    <w:rsid w:val="00A876AE"/>
    <w:rsid w:val="00A913B8"/>
    <w:rsid w:val="00AA020F"/>
    <w:rsid w:val="00AA710D"/>
    <w:rsid w:val="00AB6D25"/>
    <w:rsid w:val="00AC7857"/>
    <w:rsid w:val="00AC7C36"/>
    <w:rsid w:val="00AD002E"/>
    <w:rsid w:val="00AD34B4"/>
    <w:rsid w:val="00AE2D4B"/>
    <w:rsid w:val="00AE4B6E"/>
    <w:rsid w:val="00AE4F99"/>
    <w:rsid w:val="00AE636C"/>
    <w:rsid w:val="00AF1C38"/>
    <w:rsid w:val="00B04285"/>
    <w:rsid w:val="00B05382"/>
    <w:rsid w:val="00B10B0A"/>
    <w:rsid w:val="00B14952"/>
    <w:rsid w:val="00B15BEB"/>
    <w:rsid w:val="00B2094C"/>
    <w:rsid w:val="00B21D4D"/>
    <w:rsid w:val="00B22A2B"/>
    <w:rsid w:val="00B25357"/>
    <w:rsid w:val="00B2555E"/>
    <w:rsid w:val="00B31E5A"/>
    <w:rsid w:val="00B34243"/>
    <w:rsid w:val="00B409DC"/>
    <w:rsid w:val="00B420C3"/>
    <w:rsid w:val="00B459A0"/>
    <w:rsid w:val="00B5279C"/>
    <w:rsid w:val="00B62719"/>
    <w:rsid w:val="00B653AB"/>
    <w:rsid w:val="00B65F9E"/>
    <w:rsid w:val="00B66555"/>
    <w:rsid w:val="00B66B19"/>
    <w:rsid w:val="00B72C49"/>
    <w:rsid w:val="00B747B6"/>
    <w:rsid w:val="00B765B3"/>
    <w:rsid w:val="00B84D82"/>
    <w:rsid w:val="00B914E9"/>
    <w:rsid w:val="00B92654"/>
    <w:rsid w:val="00B94EED"/>
    <w:rsid w:val="00B956EE"/>
    <w:rsid w:val="00B957EC"/>
    <w:rsid w:val="00B964A7"/>
    <w:rsid w:val="00BA1D4F"/>
    <w:rsid w:val="00BA2BA1"/>
    <w:rsid w:val="00BB43A9"/>
    <w:rsid w:val="00BB4F09"/>
    <w:rsid w:val="00BC508E"/>
    <w:rsid w:val="00BD2BC3"/>
    <w:rsid w:val="00BD4E33"/>
    <w:rsid w:val="00BD6945"/>
    <w:rsid w:val="00BE060A"/>
    <w:rsid w:val="00BE2DB9"/>
    <w:rsid w:val="00BE4961"/>
    <w:rsid w:val="00BE588F"/>
    <w:rsid w:val="00BE58DD"/>
    <w:rsid w:val="00BF101B"/>
    <w:rsid w:val="00BF713B"/>
    <w:rsid w:val="00C02127"/>
    <w:rsid w:val="00C030DE"/>
    <w:rsid w:val="00C0341F"/>
    <w:rsid w:val="00C05B49"/>
    <w:rsid w:val="00C132A6"/>
    <w:rsid w:val="00C22105"/>
    <w:rsid w:val="00C244B6"/>
    <w:rsid w:val="00C269C3"/>
    <w:rsid w:val="00C30406"/>
    <w:rsid w:val="00C3702F"/>
    <w:rsid w:val="00C425A6"/>
    <w:rsid w:val="00C52F34"/>
    <w:rsid w:val="00C530F9"/>
    <w:rsid w:val="00C5627C"/>
    <w:rsid w:val="00C64A37"/>
    <w:rsid w:val="00C7158E"/>
    <w:rsid w:val="00C7250B"/>
    <w:rsid w:val="00C733C3"/>
    <w:rsid w:val="00C7346B"/>
    <w:rsid w:val="00C776B0"/>
    <w:rsid w:val="00C77C0E"/>
    <w:rsid w:val="00C77C4A"/>
    <w:rsid w:val="00C823FF"/>
    <w:rsid w:val="00C85BB8"/>
    <w:rsid w:val="00C91687"/>
    <w:rsid w:val="00C924A8"/>
    <w:rsid w:val="00C945FE"/>
    <w:rsid w:val="00C96FAA"/>
    <w:rsid w:val="00C97A04"/>
    <w:rsid w:val="00CA107B"/>
    <w:rsid w:val="00CA484D"/>
    <w:rsid w:val="00CA6B4C"/>
    <w:rsid w:val="00CB5036"/>
    <w:rsid w:val="00CC0691"/>
    <w:rsid w:val="00CC303A"/>
    <w:rsid w:val="00CC38CB"/>
    <w:rsid w:val="00CC587A"/>
    <w:rsid w:val="00CC67E6"/>
    <w:rsid w:val="00CC739E"/>
    <w:rsid w:val="00CD1F4B"/>
    <w:rsid w:val="00CD2FE9"/>
    <w:rsid w:val="00CD58B7"/>
    <w:rsid w:val="00CE082C"/>
    <w:rsid w:val="00CF0D73"/>
    <w:rsid w:val="00CF2D58"/>
    <w:rsid w:val="00CF4099"/>
    <w:rsid w:val="00D00796"/>
    <w:rsid w:val="00D107E8"/>
    <w:rsid w:val="00D115A8"/>
    <w:rsid w:val="00D261A2"/>
    <w:rsid w:val="00D34D98"/>
    <w:rsid w:val="00D37998"/>
    <w:rsid w:val="00D41FA3"/>
    <w:rsid w:val="00D53D5E"/>
    <w:rsid w:val="00D54D58"/>
    <w:rsid w:val="00D616D2"/>
    <w:rsid w:val="00D626BB"/>
    <w:rsid w:val="00D63B5F"/>
    <w:rsid w:val="00D67CD3"/>
    <w:rsid w:val="00D70981"/>
    <w:rsid w:val="00D70EF7"/>
    <w:rsid w:val="00D8397C"/>
    <w:rsid w:val="00D84588"/>
    <w:rsid w:val="00D91A6B"/>
    <w:rsid w:val="00D94EED"/>
    <w:rsid w:val="00D96026"/>
    <w:rsid w:val="00D975DE"/>
    <w:rsid w:val="00DA7C1C"/>
    <w:rsid w:val="00DB147A"/>
    <w:rsid w:val="00DB1B7A"/>
    <w:rsid w:val="00DB562E"/>
    <w:rsid w:val="00DC1533"/>
    <w:rsid w:val="00DC6708"/>
    <w:rsid w:val="00DD08C1"/>
    <w:rsid w:val="00DD31F2"/>
    <w:rsid w:val="00DD47E8"/>
    <w:rsid w:val="00DE0CED"/>
    <w:rsid w:val="00DF0EAD"/>
    <w:rsid w:val="00DF4D6E"/>
    <w:rsid w:val="00DF5570"/>
    <w:rsid w:val="00DF6110"/>
    <w:rsid w:val="00E01436"/>
    <w:rsid w:val="00E045BD"/>
    <w:rsid w:val="00E12DB3"/>
    <w:rsid w:val="00E17B77"/>
    <w:rsid w:val="00E17C86"/>
    <w:rsid w:val="00E17F92"/>
    <w:rsid w:val="00E23337"/>
    <w:rsid w:val="00E259EA"/>
    <w:rsid w:val="00E25E36"/>
    <w:rsid w:val="00E31FA1"/>
    <w:rsid w:val="00E32061"/>
    <w:rsid w:val="00E33A76"/>
    <w:rsid w:val="00E36AEC"/>
    <w:rsid w:val="00E42FF9"/>
    <w:rsid w:val="00E441B4"/>
    <w:rsid w:val="00E44BC0"/>
    <w:rsid w:val="00E4714C"/>
    <w:rsid w:val="00E51AEB"/>
    <w:rsid w:val="00E522A7"/>
    <w:rsid w:val="00E53C35"/>
    <w:rsid w:val="00E54452"/>
    <w:rsid w:val="00E57771"/>
    <w:rsid w:val="00E62EBE"/>
    <w:rsid w:val="00E636B1"/>
    <w:rsid w:val="00E64E91"/>
    <w:rsid w:val="00E664C5"/>
    <w:rsid w:val="00E671A2"/>
    <w:rsid w:val="00E76D26"/>
    <w:rsid w:val="00E77410"/>
    <w:rsid w:val="00E818AD"/>
    <w:rsid w:val="00E91F67"/>
    <w:rsid w:val="00E93AC6"/>
    <w:rsid w:val="00EA5CD2"/>
    <w:rsid w:val="00EA5FCE"/>
    <w:rsid w:val="00EA7416"/>
    <w:rsid w:val="00EB1390"/>
    <w:rsid w:val="00EB2C71"/>
    <w:rsid w:val="00EB4340"/>
    <w:rsid w:val="00EB46E9"/>
    <w:rsid w:val="00EB4BA2"/>
    <w:rsid w:val="00EB556D"/>
    <w:rsid w:val="00EB5A7D"/>
    <w:rsid w:val="00EB7EE9"/>
    <w:rsid w:val="00ED06AE"/>
    <w:rsid w:val="00ED0E44"/>
    <w:rsid w:val="00ED55C0"/>
    <w:rsid w:val="00ED682B"/>
    <w:rsid w:val="00EE41D5"/>
    <w:rsid w:val="00EE6094"/>
    <w:rsid w:val="00EF11BF"/>
    <w:rsid w:val="00EF4F31"/>
    <w:rsid w:val="00F002F9"/>
    <w:rsid w:val="00F0226D"/>
    <w:rsid w:val="00F02C7E"/>
    <w:rsid w:val="00F02FC9"/>
    <w:rsid w:val="00F037A4"/>
    <w:rsid w:val="00F067F4"/>
    <w:rsid w:val="00F1200E"/>
    <w:rsid w:val="00F152E6"/>
    <w:rsid w:val="00F2007B"/>
    <w:rsid w:val="00F274D0"/>
    <w:rsid w:val="00F27C8F"/>
    <w:rsid w:val="00F31D96"/>
    <w:rsid w:val="00F32749"/>
    <w:rsid w:val="00F3415A"/>
    <w:rsid w:val="00F35284"/>
    <w:rsid w:val="00F35F16"/>
    <w:rsid w:val="00F37172"/>
    <w:rsid w:val="00F42440"/>
    <w:rsid w:val="00F4477E"/>
    <w:rsid w:val="00F453BB"/>
    <w:rsid w:val="00F600D4"/>
    <w:rsid w:val="00F657FD"/>
    <w:rsid w:val="00F67D8F"/>
    <w:rsid w:val="00F70DA2"/>
    <w:rsid w:val="00F71623"/>
    <w:rsid w:val="00F802BE"/>
    <w:rsid w:val="00F86024"/>
    <w:rsid w:val="00F8611A"/>
    <w:rsid w:val="00F87ED1"/>
    <w:rsid w:val="00F9355F"/>
    <w:rsid w:val="00FA258F"/>
    <w:rsid w:val="00FA2A0D"/>
    <w:rsid w:val="00FA48F8"/>
    <w:rsid w:val="00FA5128"/>
    <w:rsid w:val="00FA5E2C"/>
    <w:rsid w:val="00FA628B"/>
    <w:rsid w:val="00FB42D4"/>
    <w:rsid w:val="00FB50BD"/>
    <w:rsid w:val="00FB5906"/>
    <w:rsid w:val="00FB762F"/>
    <w:rsid w:val="00FC0B7D"/>
    <w:rsid w:val="00FC2AED"/>
    <w:rsid w:val="00FC43DA"/>
    <w:rsid w:val="00FC71CA"/>
    <w:rsid w:val="00FD2E48"/>
    <w:rsid w:val="00FD5DDE"/>
    <w:rsid w:val="00FD5EA7"/>
    <w:rsid w:val="00FD784B"/>
    <w:rsid w:val="00FE08D1"/>
    <w:rsid w:val="00FE3D1E"/>
    <w:rsid w:val="00FE4723"/>
    <w:rsid w:val="00FF0040"/>
    <w:rsid w:val="00FF1498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hyperlink" Target="https://stat.gov.pl/obszary-tematyczne/ceny-handel/handel/handel-zagraniczny-statystyka-lustrzana-i-statystyka-asymetrii,17,1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banki-i-bazy-danych/handel-zagraniczny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header" Target="header2.xml"/><Relationship Id="rId25" Type="http://schemas.openxmlformats.org/officeDocument/2006/relationships/hyperlink" Target="https://stat.gov.pl/obszary-tematyczne/roczniki-statystyczne/roczniki-statystyczne/rocznik-statystyczny-handlu-zagranicznego-2019,9,13.html" TargetMode="External"/><Relationship Id="rId33" Type="http://schemas.openxmlformats.org/officeDocument/2006/relationships/hyperlink" Target="http://swaid.stat.gov.pl/SitePagesDBW/HandelZagraniczny.aspx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rzecznik@stat.gov.pl" TargetMode="External"/><Relationship Id="rId29" Type="http://schemas.openxmlformats.org/officeDocument/2006/relationships/hyperlink" Target="http://stat.gov.pl/metainformacje/slownik-pojec/pojecia-stosowane-w-statystyce-publicznej/74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image" Target="media/image6.png"/><Relationship Id="rId32" Type="http://schemas.openxmlformats.org/officeDocument/2006/relationships/hyperlink" Target="https://stat.gov.pl/obszary-tematyczne/ceny-handel/handel/handel-zagraniczny-statystyka-lustrzana-i-statystyka-asymetrii,17,1.html" TargetMode="External"/><Relationship Id="rId37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5.png"/><Relationship Id="rId28" Type="http://schemas.openxmlformats.org/officeDocument/2006/relationships/hyperlink" Target="http://stat.gov.pl/banki-i-bazy-danych/handel-zagraniczny/" TargetMode="External"/><Relationship Id="rId36" Type="http://schemas.openxmlformats.org/officeDocument/2006/relationships/hyperlink" Target="http://stat.gov.pl/metainformacje/slownik-pojec/pojecia-stosowane-w-statystyce-publicznej/119,pojeci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.matejak@stat.gov.pl" TargetMode="External"/><Relationship Id="rId31" Type="http://schemas.openxmlformats.org/officeDocument/2006/relationships/hyperlink" Target="https://stat.gov.pl/obszary-tematyczne/roczniki-statystyczne/roczniki-statystyczne/rocznik-statystyczny-handlu-zagranicznego-2019,9,13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4.png"/><Relationship Id="rId27" Type="http://schemas.openxmlformats.org/officeDocument/2006/relationships/hyperlink" Target="http://swaid.stat.gov.pl/SitePagesDBW/HandelZagraniczny.aspx" TargetMode="External"/><Relationship Id="rId30" Type="http://schemas.openxmlformats.org/officeDocument/2006/relationships/hyperlink" Target="http://stat.gov.pl/metainformacje/slownik-pojec/pojecia-stosowane-w-statystyce-publicznej/119,pojecie.html" TargetMode="External"/><Relationship Id="rId35" Type="http://schemas.openxmlformats.org/officeDocument/2006/relationships/hyperlink" Target="http://stat.gov.pl/metainformacje/slownik-pojec/pojecia-stosowane-w-statystyce-publicznej/746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atejakA\Desktop\Documents\Sygnalna\Towary%20SITC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MatejakA\Desktop\Documents\Sygnalna\Towary%20SIT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554465602547173"/>
          <c:y val="2.9955067398901646E-2"/>
          <c:w val="0.52214221641781577"/>
          <c:h val="0.8901647528706939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A5C9"/>
            </a:solidFill>
            <a:ln w="9525" cap="flat" cmpd="sng" algn="ctr">
              <a:solidFill>
                <a:srgbClr val="99A5C9"/>
              </a:solidFill>
              <a:round/>
            </a:ln>
            <a:effectLst/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9"/>
                <c:pt idx="0">
                  <c:v>Różne wyroby przemysłowe</c:v>
                </c:pt>
                <c:pt idx="1">
                  <c:v>Maszyny, urządzenia i sprzęt transportowy</c:v>
                </c:pt>
                <c:pt idx="2">
                  <c:v>Towary przemysłowe sklasyfikowane głównie według surowca</c:v>
                </c:pt>
                <c:pt idx="3">
                  <c:v>Chemikalia i produkty pokrewne</c:v>
                </c:pt>
                <c:pt idx="4">
                  <c:v>Oleje, tłuszcze, woski, zwierzęce i roślinne</c:v>
                </c:pt>
                <c:pt idx="5">
                  <c:v>Paliwa mineralne, smary i materiały  pochodne</c:v>
                </c:pt>
                <c:pt idx="6">
                  <c:v> Surowce niejadalne z wyjątkiem paliw</c:v>
                </c:pt>
                <c:pt idx="7">
                  <c:v>Napoje i tytoń</c:v>
                </c:pt>
                <c:pt idx="8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>
                  <c:v>17</c:v>
                </c:pt>
                <c:pt idx="1">
                  <c:v>37.6</c:v>
                </c:pt>
                <c:pt idx="2">
                  <c:v>18.600000000000001</c:v>
                </c:pt>
                <c:pt idx="3">
                  <c:v>9.1999999999999993</c:v>
                </c:pt>
                <c:pt idx="4">
                  <c:v>0.1</c:v>
                </c:pt>
                <c:pt idx="5">
                  <c:v>2.2999999999999998</c:v>
                </c:pt>
                <c:pt idx="6">
                  <c:v>2.2000000000000002</c:v>
                </c:pt>
                <c:pt idx="7">
                  <c:v>2</c:v>
                </c:pt>
                <c:pt idx="8">
                  <c:v>10.7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-1441350576"/>
        <c:axId val="-1441345680"/>
      </c:barChart>
      <c:catAx>
        <c:axId val="-1441350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41345680"/>
        <c:crosses val="autoZero"/>
        <c:auto val="1"/>
        <c:lblAlgn val="ctr"/>
        <c:lblOffset val="100"/>
        <c:noMultiLvlLbl val="0"/>
      </c:catAx>
      <c:valAx>
        <c:axId val="-144134568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-144135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993290444495849"/>
          <c:y val="5.2757793764988008E-2"/>
          <c:w val="0.51527473160313864"/>
          <c:h val="0.894484412470023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Arkusz1!$A$27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79236395190281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9"/>
                <c:pt idx="0">
                  <c:v>Różne wyroby przemysłowe</c:v>
                </c:pt>
                <c:pt idx="1">
                  <c:v>Maszyny, urządzenia i sprzęt transportowy</c:v>
                </c:pt>
                <c:pt idx="2">
                  <c:v>Towary przemysłowe sklasyfikowane głównie według surowca</c:v>
                </c:pt>
                <c:pt idx="3">
                  <c:v>Chemikalia i produkty pokrewne</c:v>
                </c:pt>
                <c:pt idx="4">
                  <c:v>Oleje, tłuszcze, woski, zwierzęce i roślinne</c:v>
                </c:pt>
                <c:pt idx="5">
                  <c:v>Paliwa mineralne, smary i materiały  pochodne</c:v>
                </c:pt>
                <c:pt idx="6">
                  <c:v> Surowce niejadalne z wyjątkiem paliw</c:v>
                </c:pt>
                <c:pt idx="7">
                  <c:v>Napoje i tytoń</c:v>
                </c:pt>
                <c:pt idx="8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13.3</c:v>
                </c:pt>
                <c:pt idx="1">
                  <c:v>35.700000000000003</c:v>
                </c:pt>
                <c:pt idx="2">
                  <c:v>16.8</c:v>
                </c:pt>
                <c:pt idx="3">
                  <c:v>13.7</c:v>
                </c:pt>
                <c:pt idx="4">
                  <c:v>0.4</c:v>
                </c:pt>
                <c:pt idx="5">
                  <c:v>7.6</c:v>
                </c:pt>
                <c:pt idx="6">
                  <c:v>3</c:v>
                </c:pt>
                <c:pt idx="7">
                  <c:v>0.79</c:v>
                </c:pt>
                <c:pt idx="8">
                  <c:v>7.1</c:v>
                </c:pt>
              </c:numCache>
            </c:numRef>
          </c:val>
          <c:extLst/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1441345136"/>
        <c:axId val="-1441344592"/>
      </c:barChart>
      <c:catAx>
        <c:axId val="-1441345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41344592"/>
        <c:crosses val="autoZero"/>
        <c:auto val="1"/>
        <c:lblAlgn val="ctr"/>
        <c:lblOffset val="100"/>
        <c:noMultiLvlLbl val="0"/>
      </c:catAx>
      <c:valAx>
        <c:axId val="-144134459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-1441345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BD5E8E-4F6A-4367-A27D-CD78CE36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6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Obroty towarowe handlu zagranicznego ogółem i według krajów w okresie styczeń-wrzesień 2019 roku</dc:title>
  <dc:subject>Obroty towarowe handlu zagranicznego ogółem i według krajów w okresie styczeń-wrzesień 2019 roku</dc:subject>
  <dc:creator>Główny Urząd Statystyczny</dc:creator>
  <cp:keywords>międzynarodowa wymiana towarowa; eksport; import; obroty towarowe handlu zagranicznego wg grup krajów</cp:keywords>
  <dc:description/>
  <cp:lastPrinted>2019-10-31T08:13:00Z</cp:lastPrinted>
  <dcterms:created xsi:type="dcterms:W3CDTF">2019-07-11T10:51:00Z</dcterms:created>
  <dcterms:modified xsi:type="dcterms:W3CDTF">2019-11-12T10:58:00Z</dcterms:modified>
  <cp:category>Handel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