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bookmarkStart w:id="0" w:name="_GoBack"/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077307">
        <w:t>październiku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bookmarkEnd w:id="0"/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38354B82" wp14:editId="6F9E856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E8C1EEF" wp14:editId="108B9BFB">
                                  <wp:extent cx="334645" cy="334645"/>
                                  <wp:effectExtent l="0" t="0" r="8255" b="8255"/>
                                  <wp:docPr id="1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277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6,8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4B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E8C1EEF" wp14:editId="108B9BFB">
                            <wp:extent cx="334645" cy="334645"/>
                            <wp:effectExtent l="0" t="0" r="8255" b="8255"/>
                            <wp:docPr id="1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277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6,8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45646C">
        <w:rPr>
          <w:color w:val="000000" w:themeColor="text1"/>
        </w:rPr>
        <w:t>szybkiego 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077307">
        <w:rPr>
          <w:color w:val="000000" w:themeColor="text1"/>
        </w:rPr>
        <w:t>październiku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</w:t>
      </w:r>
      <w:r w:rsidR="009D1F1C">
        <w:rPr>
          <w:color w:val="000000" w:themeColor="text1"/>
        </w:rPr>
        <w:br/>
      </w:r>
      <w:r w:rsidR="00F1617D" w:rsidRPr="00493683">
        <w:rPr>
          <w:color w:val="000000" w:themeColor="text1"/>
        </w:rPr>
        <w:t xml:space="preserve">z analogicznym miesiącem ub. </w:t>
      </w:r>
      <w:r w:rsidR="00027715">
        <w:rPr>
          <w:color w:val="000000" w:themeColor="text1"/>
        </w:rPr>
        <w:t>roku wzrosły o 6,8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027715">
        <w:rPr>
          <w:color w:val="000000" w:themeColor="text1"/>
        </w:rPr>
        <w:t>6,8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9C5D82">
        <w:rPr>
          <w:color w:val="000000" w:themeColor="text1"/>
        </w:rPr>
        <w:t>wzrosły o 1,0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9C5D82">
        <w:rPr>
          <w:color w:val="000000" w:themeColor="text1"/>
        </w:rPr>
        <w:t>1,0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077307">
        <w:t>w październiku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077307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10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077307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10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077307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09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926FF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106</w:t>
            </w:r>
            <w:r w:rsidR="00C863F4">
              <w:rPr>
                <w:rFonts w:cs="Arial"/>
                <w:b/>
                <w:color w:val="000000" w:themeColor="text1"/>
                <w:sz w:val="16"/>
                <w:szCs w:val="16"/>
              </w:rPr>
              <w:t>,8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9C5D82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494BF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926FF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9C5D8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926FF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110</w:t>
            </w:r>
            <w:r w:rsidR="000D5C0E">
              <w:rPr>
                <w:rFonts w:cs="Arial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9C5D8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2926FF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133,9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9C5D8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BB7B98" w:rsidRDefault="00027715" w:rsidP="00BB7B98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F6FBB32" wp14:editId="6C6D48A6">
            <wp:simplePos x="0" y="0"/>
            <wp:positionH relativeFrom="column">
              <wp:posOffset>-83820</wp:posOffset>
            </wp:positionH>
            <wp:positionV relativeFrom="paragraph">
              <wp:posOffset>399415</wp:posOffset>
            </wp:positionV>
            <wp:extent cx="5122545" cy="264223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  <w:r w:rsidR="00BB7B98" w:rsidRPr="00BB7B98">
        <w:rPr>
          <w:noProof/>
          <w:lang w:eastAsia="pl-PL"/>
        </w:rPr>
        <w:t xml:space="preserve"> </w:t>
      </w:r>
    </w:p>
    <w:p w:rsidR="005D2957" w:rsidRDefault="005D2957" w:rsidP="00F068B0">
      <w:pPr>
        <w:tabs>
          <w:tab w:val="left" w:pos="4935"/>
        </w:tabs>
        <w:rPr>
          <w:b/>
          <w:noProof/>
          <w:szCs w:val="19"/>
          <w:lang w:eastAsia="pl-PL"/>
        </w:rPr>
      </w:pPr>
    </w:p>
    <w:p w:rsidR="005E2988" w:rsidRDefault="00B93CB1" w:rsidP="005D2957">
      <w:pPr>
        <w:spacing w:before="24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077307">
        <w:rPr>
          <w:noProof/>
          <w:sz w:val="16"/>
          <w:szCs w:val="19"/>
          <w:lang w:eastAsia="pl-PL"/>
        </w:rPr>
        <w:t xml:space="preserve"> październiku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7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37890031" wp14:editId="1DD9234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120DF2" w:rsidP="000470AA">
            <w:pPr>
              <w:rPr>
                <w:sz w:val="18"/>
              </w:rPr>
            </w:pPr>
            <w:hyperlink r:id="rId19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E2A4B15" wp14:editId="278F2FA2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120DF2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3B232CDF" wp14:editId="4F7D4AB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120DF2" w:rsidP="000470AA">
            <w:pPr>
              <w:rPr>
                <w:sz w:val="20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4A92BCD" wp14:editId="3902039B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120D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2BCD" id="_x0000_s1027" type="#_x0000_t202" style="position:absolute;margin-left:1.5pt;margin-top:34.7pt;width:516.5pt;height:34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120DF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2"/>
      <w:footerReference w:type="default" r:id="rId4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F2" w:rsidRDefault="00120DF2" w:rsidP="000662E2">
      <w:pPr>
        <w:spacing w:after="0" w:line="240" w:lineRule="auto"/>
      </w:pPr>
      <w:r>
        <w:separator/>
      </w:r>
    </w:p>
  </w:endnote>
  <w:endnote w:type="continuationSeparator" w:id="0">
    <w:p w:rsidR="00120DF2" w:rsidRDefault="00120DF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F2" w:rsidRDefault="00120DF2" w:rsidP="000662E2">
      <w:pPr>
        <w:spacing w:after="0" w:line="240" w:lineRule="auto"/>
      </w:pPr>
      <w:r>
        <w:separator/>
      </w:r>
    </w:p>
  </w:footnote>
  <w:footnote w:type="continuationSeparator" w:id="0">
    <w:p w:rsidR="00120DF2" w:rsidRDefault="00120DF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3089B784" wp14:editId="2E521CB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E2FD3" id="Prostokąt 24" o:spid="_x0000_s1026" style="position:absolute;margin-left:410.6pt;margin-top:-14.05pt;width:147.6pt;height:1785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24898D" wp14:editId="57BD9D5E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FE398" id="Prostokąt 10" o:spid="_x0000_s1026" style="position:absolute;margin-left:410.9pt;margin-top:15.65pt;width:147.4pt;height:8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4B135D" wp14:editId="7B32A60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B135D" id="Schemat blokowy: opóźnienie 6" o:spid="_x0000_s1028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61196E08" wp14:editId="279F07FE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1B026202" wp14:editId="4576AC2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07730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5952DA">
                            <w:rPr>
                              <w:rFonts w:ascii="Fira Sans SemiBold" w:hAnsi="Fira Sans SemiBold"/>
                              <w:color w:val="001D77"/>
                            </w:rPr>
                            <w:t>.10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2620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07730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5952DA">
                      <w:rPr>
                        <w:rFonts w:ascii="Fira Sans SemiBold" w:hAnsi="Fira Sans SemiBold"/>
                        <w:color w:val="001D77"/>
                      </w:rPr>
                      <w:t>.10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4.6pt;visibility:visible" o:bullet="t">
        <v:imagedata r:id="rId1" o:title=""/>
      </v:shape>
    </w:pict>
  </w:numPicBullet>
  <w:numPicBullet w:numPicBulletId="1">
    <w:pict>
      <v:shape id="_x0000_i1029" type="#_x0000_t75" style="width:123.95pt;height:124.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21E1"/>
    <w:rsid w:val="000152F5"/>
    <w:rsid w:val="000259DC"/>
    <w:rsid w:val="00027715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77307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D5C0E"/>
    <w:rsid w:val="000E0918"/>
    <w:rsid w:val="000E1DE8"/>
    <w:rsid w:val="000E2EA8"/>
    <w:rsid w:val="000E2F9D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0DF2"/>
    <w:rsid w:val="00130296"/>
    <w:rsid w:val="001358A1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13B00"/>
    <w:rsid w:val="00232659"/>
    <w:rsid w:val="00235C7B"/>
    <w:rsid w:val="00244940"/>
    <w:rsid w:val="00245FBA"/>
    <w:rsid w:val="002532A4"/>
    <w:rsid w:val="002544E3"/>
    <w:rsid w:val="00256394"/>
    <w:rsid w:val="002574F9"/>
    <w:rsid w:val="00262B61"/>
    <w:rsid w:val="00276811"/>
    <w:rsid w:val="00276C9A"/>
    <w:rsid w:val="00282699"/>
    <w:rsid w:val="00285C34"/>
    <w:rsid w:val="002926DF"/>
    <w:rsid w:val="002926F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6025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2AD"/>
    <w:rsid w:val="003F7FE6"/>
    <w:rsid w:val="00400193"/>
    <w:rsid w:val="00404B5F"/>
    <w:rsid w:val="00416171"/>
    <w:rsid w:val="00421054"/>
    <w:rsid w:val="004212E7"/>
    <w:rsid w:val="004227B2"/>
    <w:rsid w:val="0042446D"/>
    <w:rsid w:val="004245B6"/>
    <w:rsid w:val="00426ECB"/>
    <w:rsid w:val="00427BF8"/>
    <w:rsid w:val="00431C02"/>
    <w:rsid w:val="00435875"/>
    <w:rsid w:val="00437395"/>
    <w:rsid w:val="00444CA9"/>
    <w:rsid w:val="00445047"/>
    <w:rsid w:val="004460F4"/>
    <w:rsid w:val="00454F47"/>
    <w:rsid w:val="0045646C"/>
    <w:rsid w:val="004566AB"/>
    <w:rsid w:val="004601AC"/>
    <w:rsid w:val="00463E39"/>
    <w:rsid w:val="004657FC"/>
    <w:rsid w:val="00472A6A"/>
    <w:rsid w:val="004733F6"/>
    <w:rsid w:val="00474E69"/>
    <w:rsid w:val="00476792"/>
    <w:rsid w:val="00481C69"/>
    <w:rsid w:val="00482A56"/>
    <w:rsid w:val="004936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952DA"/>
    <w:rsid w:val="005A698C"/>
    <w:rsid w:val="005B5F36"/>
    <w:rsid w:val="005C1AF8"/>
    <w:rsid w:val="005D2957"/>
    <w:rsid w:val="005D470D"/>
    <w:rsid w:val="005E0799"/>
    <w:rsid w:val="005E2988"/>
    <w:rsid w:val="005F5A80"/>
    <w:rsid w:val="006039C0"/>
    <w:rsid w:val="006044FF"/>
    <w:rsid w:val="00605200"/>
    <w:rsid w:val="00605B31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C6ABD"/>
    <w:rsid w:val="006D1507"/>
    <w:rsid w:val="006D4054"/>
    <w:rsid w:val="006D6B72"/>
    <w:rsid w:val="006E0185"/>
    <w:rsid w:val="006E02EC"/>
    <w:rsid w:val="006E2A4A"/>
    <w:rsid w:val="006E703D"/>
    <w:rsid w:val="006F4F57"/>
    <w:rsid w:val="007018FE"/>
    <w:rsid w:val="0070337D"/>
    <w:rsid w:val="007059D5"/>
    <w:rsid w:val="007162EB"/>
    <w:rsid w:val="007170D2"/>
    <w:rsid w:val="007211B1"/>
    <w:rsid w:val="00731927"/>
    <w:rsid w:val="00733D55"/>
    <w:rsid w:val="007356A6"/>
    <w:rsid w:val="007425F3"/>
    <w:rsid w:val="00742FC1"/>
    <w:rsid w:val="00746187"/>
    <w:rsid w:val="00752A67"/>
    <w:rsid w:val="007601B7"/>
    <w:rsid w:val="00761070"/>
    <w:rsid w:val="0076254F"/>
    <w:rsid w:val="00762A35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D7AAB"/>
    <w:rsid w:val="007E3314"/>
    <w:rsid w:val="007E4B03"/>
    <w:rsid w:val="007F02CC"/>
    <w:rsid w:val="007F324B"/>
    <w:rsid w:val="007F7386"/>
    <w:rsid w:val="007F7463"/>
    <w:rsid w:val="00800472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02E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395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4378"/>
    <w:rsid w:val="00916782"/>
    <w:rsid w:val="009227A6"/>
    <w:rsid w:val="00933B26"/>
    <w:rsid w:val="00933EC1"/>
    <w:rsid w:val="009530DB"/>
    <w:rsid w:val="00953676"/>
    <w:rsid w:val="00954BD3"/>
    <w:rsid w:val="00961907"/>
    <w:rsid w:val="009705EE"/>
    <w:rsid w:val="00977927"/>
    <w:rsid w:val="0098135C"/>
    <w:rsid w:val="0098156A"/>
    <w:rsid w:val="0098260A"/>
    <w:rsid w:val="00984AC4"/>
    <w:rsid w:val="00985747"/>
    <w:rsid w:val="009869A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5D82"/>
    <w:rsid w:val="009C7251"/>
    <w:rsid w:val="009D1F1C"/>
    <w:rsid w:val="009D63C8"/>
    <w:rsid w:val="009E2E91"/>
    <w:rsid w:val="009E3BF4"/>
    <w:rsid w:val="009F5815"/>
    <w:rsid w:val="00A05423"/>
    <w:rsid w:val="00A06BD6"/>
    <w:rsid w:val="00A07F00"/>
    <w:rsid w:val="00A12435"/>
    <w:rsid w:val="00A139F5"/>
    <w:rsid w:val="00A2104E"/>
    <w:rsid w:val="00A2136A"/>
    <w:rsid w:val="00A216AE"/>
    <w:rsid w:val="00A21A31"/>
    <w:rsid w:val="00A33F84"/>
    <w:rsid w:val="00A34C24"/>
    <w:rsid w:val="00A365F4"/>
    <w:rsid w:val="00A371FF"/>
    <w:rsid w:val="00A37CE0"/>
    <w:rsid w:val="00A431A1"/>
    <w:rsid w:val="00A460E6"/>
    <w:rsid w:val="00A46BD5"/>
    <w:rsid w:val="00A47D80"/>
    <w:rsid w:val="00A51E49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AE5DBE"/>
    <w:rsid w:val="00B005AA"/>
    <w:rsid w:val="00B11B69"/>
    <w:rsid w:val="00B14952"/>
    <w:rsid w:val="00B21DEB"/>
    <w:rsid w:val="00B31E5A"/>
    <w:rsid w:val="00B322EC"/>
    <w:rsid w:val="00B47BCC"/>
    <w:rsid w:val="00B50227"/>
    <w:rsid w:val="00B50A64"/>
    <w:rsid w:val="00B609CE"/>
    <w:rsid w:val="00B63A9C"/>
    <w:rsid w:val="00B653AB"/>
    <w:rsid w:val="00B65F9E"/>
    <w:rsid w:val="00B66B19"/>
    <w:rsid w:val="00B84E80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B7B98"/>
    <w:rsid w:val="00BC2C5D"/>
    <w:rsid w:val="00BD4E33"/>
    <w:rsid w:val="00BD5D67"/>
    <w:rsid w:val="00BF0238"/>
    <w:rsid w:val="00BF10BE"/>
    <w:rsid w:val="00C00EDA"/>
    <w:rsid w:val="00C030DE"/>
    <w:rsid w:val="00C20439"/>
    <w:rsid w:val="00C22105"/>
    <w:rsid w:val="00C244B6"/>
    <w:rsid w:val="00C24B3B"/>
    <w:rsid w:val="00C2754B"/>
    <w:rsid w:val="00C27D75"/>
    <w:rsid w:val="00C346D5"/>
    <w:rsid w:val="00C3702F"/>
    <w:rsid w:val="00C44C30"/>
    <w:rsid w:val="00C4500A"/>
    <w:rsid w:val="00C4622B"/>
    <w:rsid w:val="00C521BC"/>
    <w:rsid w:val="00C53C0F"/>
    <w:rsid w:val="00C55C91"/>
    <w:rsid w:val="00C64A37"/>
    <w:rsid w:val="00C7158E"/>
    <w:rsid w:val="00C7250B"/>
    <w:rsid w:val="00C7346B"/>
    <w:rsid w:val="00C77C0E"/>
    <w:rsid w:val="00C8000E"/>
    <w:rsid w:val="00C863F4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E7B14"/>
    <w:rsid w:val="00CF4099"/>
    <w:rsid w:val="00CF616D"/>
    <w:rsid w:val="00D00796"/>
    <w:rsid w:val="00D02D2C"/>
    <w:rsid w:val="00D13EC8"/>
    <w:rsid w:val="00D1573C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2DC9"/>
    <w:rsid w:val="00DB71D2"/>
    <w:rsid w:val="00DC10ED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737C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C22BD"/>
    <w:rsid w:val="00EC5034"/>
    <w:rsid w:val="00ED55C0"/>
    <w:rsid w:val="00ED5783"/>
    <w:rsid w:val="00ED682B"/>
    <w:rsid w:val="00EE156E"/>
    <w:rsid w:val="00EE2FEE"/>
    <w:rsid w:val="00EE41D5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23AD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31C"/>
    <w:rsid w:val="00F86C02"/>
    <w:rsid w:val="00F90BB1"/>
    <w:rsid w:val="00FA5128"/>
    <w:rsid w:val="00FA5BDD"/>
    <w:rsid w:val="00FB42D4"/>
    <w:rsid w:val="00FB5906"/>
    <w:rsid w:val="00FB5EDF"/>
    <w:rsid w:val="00FB6F1F"/>
    <w:rsid w:val="00FB762F"/>
    <w:rsid w:val="00FC2AED"/>
    <w:rsid w:val="00FC38A5"/>
    <w:rsid w:val="00FD5DCF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012D4-0965-4CC9-9816-A5F76179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yperlink" Target="http://stat.gov.pl/obszary-tematyczne/ceny-handel/ceny/" TargetMode="External"/><Relationship Id="rId21" Type="http://schemas.openxmlformats.org/officeDocument/2006/relationships/hyperlink" Target="https://twitter.com/GUS_STAT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711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facebook.com/GlownyUrzadStatystyczny/" TargetMode="Externa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" TargetMode="External"/><Relationship Id="rId31" Type="http://schemas.openxmlformats.org/officeDocument/2006/relationships/hyperlink" Target="http://stat.gov.pl/metainformacje/slownik-pojec/pojecia-stosowane-w-statystyce-publicznej/711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hyperlink" Target="http://swaid.stat.gov.pl/SitePagesDBW/Ceny.aspx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sygnalne/komunikaty-i-obwieszczenia/" TargetMode="External"/><Relationship Id="rId38" Type="http://schemas.openxmlformats.org/officeDocument/2006/relationships/hyperlink" Target="http://stat.gov.pl/obszary-tematyczne/ceny-handel/wskazniki-cen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marker>
              <c:spPr>
                <a:solidFill>
                  <a:srgbClr val="001D77"/>
                </a:solidFill>
                <a:ln>
                  <a:noFill/>
                </a:ln>
                <a:effectLst>
                  <a:softEdge rad="0"/>
                </a:effectLst>
              </c:spPr>
            </c:marker>
            <c:bubble3D val="0"/>
            <c:spPr>
              <a:ln w="22225">
                <a:solidFill>
                  <a:srgbClr val="001D77"/>
                </a:solidFill>
              </a:ln>
              <a:effectLst>
                <a:softEdge rad="0"/>
              </a:effectLst>
            </c:spPr>
          </c:dPt>
          <c:dPt>
            <c:idx val="20"/>
            <c:bubble3D val="0"/>
          </c:dPt>
          <c:dPt>
            <c:idx val="21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2"/>
            <c:bubble3D val="0"/>
          </c:dPt>
          <c:dPt>
            <c:idx val="23"/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461396163956771E-2"/>
                  <c:y val="-2.62222572013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070434470073507E-2"/>
                  <c:y val="2.213250747884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891366340205791E-2"/>
                  <c:y val="1.6699757429144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525460033102913E-2"/>
                  <c:y val="4.0535573744687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814106074226774E-2"/>
                  <c:y val="3.156759334427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762897330640883E-2"/>
                  <c:y val="2.6513820027849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51893681238438E-2"/>
                  <c:y val="3.6315520226664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104361409399E-2"/>
                  <c:y val="3.631601917234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493038652516885E-2"/>
                  <c:y val="3.6476861325358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2011878103398006E-2"/>
                  <c:y val="3.647725484023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020270678502945E-2"/>
                  <c:y val="1.2232916683486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3981487659058944E-2"/>
                  <c:y val="-4.0089494267475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7005939051698959E-2"/>
                  <c:y val="2.3562490162128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422361666631123E-2"/>
                  <c:y val="1.2895514706366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2521863043648005E-2"/>
                  <c:y val="1.287460269411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9.6139113397013826E-3"/>
                  <c:y val="2.81544530597174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284421966379704E-2"/>
                  <c:y val="-6.51510786522614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(+FE)'!$B$50:$B$71</c:f>
              <c:strCache>
                <c:ptCount val="2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'M-12 (+FE)'!$C$50:$C$71</c:f>
              <c:numCache>
                <c:formatCode>0.0</c:formatCode>
                <c:ptCount val="22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44932656"/>
        <c:axId val="-244932112"/>
      </c:lineChart>
      <c:dateAx>
        <c:axId val="-24493265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44932112"/>
        <c:crossesAt val="0"/>
        <c:auto val="0"/>
        <c:lblOffset val="100"/>
        <c:baseTimeUnit val="days"/>
      </c:dateAx>
      <c:valAx>
        <c:axId val="-244932112"/>
        <c:scaling>
          <c:orientation val="minMax"/>
          <c:max val="7.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44932656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0.06942</cdr:x>
      <cdr:y>0.70401</cdr:y>
    </cdr:from>
    <cdr:to>
      <cdr:x>0.92843</cdr:x>
      <cdr:y>0.70401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600" y="1860548"/>
          <a:ext cx="4400550" cy="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0.06877</cdr:x>
      <cdr:y>0.48415</cdr:y>
    </cdr:from>
    <cdr:to>
      <cdr:x>0.92838</cdr:x>
      <cdr:y>0.48415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3787" y="1265462"/>
          <a:ext cx="4422320" cy="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0.06932</cdr:x>
      <cdr:y>0.92766</cdr:y>
    </cdr:from>
    <cdr:to>
      <cdr:x>0.53799</cdr:x>
      <cdr:y>0.99245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5095" y="2451100"/>
          <a:ext cx="2400805" cy="171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0.3347</cdr:x>
      <cdr:y>0.41983</cdr:y>
    </cdr:from>
    <cdr:to>
      <cdr:x>0.64459</cdr:x>
      <cdr:y>0.4799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714619" y="1109516"/>
          <a:ext cx="1587505" cy="158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0.33645</cdr:x>
      <cdr:y>0.69307</cdr:y>
    </cdr:from>
    <cdr:to>
      <cdr:x>0.64636</cdr:x>
      <cdr:y>0.76139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723581" y="1831648"/>
          <a:ext cx="1587600" cy="180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0.53799</cdr:x>
      <cdr:y>0.92286</cdr:y>
    </cdr:from>
    <cdr:to>
      <cdr:x>0.92847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2755900" y="2438400"/>
          <a:ext cx="2000250" cy="2038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0.06999</cdr:x>
      <cdr:y>0.59232</cdr:y>
    </cdr:from>
    <cdr:to>
      <cdr:x>0.9281</cdr:x>
      <cdr:y>0.59247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>
          <a:off x="358527" y="1565049"/>
          <a:ext cx="4395707" cy="39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0.68547</cdr:x>
      <cdr:y>0.58387</cdr:y>
    </cdr:from>
    <cdr:to>
      <cdr:x>0.87698</cdr:x>
      <cdr:y>0.66472</cdr:y>
    </cdr:to>
    <cdr:sp macro="" textlink="">
      <cdr:nvSpPr>
        <cdr:cNvPr id="13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1550" y="1543050"/>
          <a:ext cx="981068" cy="213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0.53722</cdr:x>
      <cdr:y>0.87024</cdr:y>
    </cdr:from>
    <cdr:to>
      <cdr:x>0.53722</cdr:x>
      <cdr:y>0.93967</cdr:y>
    </cdr:to>
    <cdr:cxnSp macro="">
      <cdr:nvCxnSpPr>
        <cdr:cNvPr id="16" name="Łącznik prosty 15"/>
        <cdr:cNvCxnSpPr/>
      </cdr:nvCxnSpPr>
      <cdr:spPr bwMode="auto">
        <a:xfrm xmlns:a="http://schemas.openxmlformats.org/drawingml/2006/main">
          <a:off x="2751918" y="2299369"/>
          <a:ext cx="0" cy="183450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4496F-2E26-44B7-8872-C4A1631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październiku 2021 r.</dc:title>
  <dc:creator>GUS</dc:creator>
  <cp:lastModifiedBy>Putkowska Beata</cp:lastModifiedBy>
  <cp:revision>3</cp:revision>
  <cp:lastPrinted>2021-09-29T14:05:00Z</cp:lastPrinted>
  <dcterms:created xsi:type="dcterms:W3CDTF">2021-08-30T08:00:00Z</dcterms:created>
  <dcterms:modified xsi:type="dcterms:W3CDTF">2021-10-29T05:21:00Z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