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BA" w:rsidRPr="00C91CD6" w:rsidRDefault="00CF790A" w:rsidP="00C33C3B">
      <w:pPr>
        <w:spacing w:before="120" w:after="0" w:line="240" w:lineRule="auto"/>
        <w:rPr>
          <w:rFonts w:ascii="Fira Sans Extra Condensed SemiB" w:hAnsi="Fira Sans Extra Condensed SemiB"/>
          <w:sz w:val="40"/>
          <w:szCs w:val="40"/>
        </w:rPr>
      </w:pPr>
      <w:r w:rsidRPr="00C91CD6">
        <w:rPr>
          <w:rFonts w:asciiTheme="majorHAnsi" w:hAnsiTheme="majorHAnsi"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5A6D0DE" wp14:editId="6BA78C8B">
                <wp:simplePos x="0" y="0"/>
                <wp:positionH relativeFrom="column">
                  <wp:posOffset>5303520</wp:posOffset>
                </wp:positionH>
                <wp:positionV relativeFrom="paragraph">
                  <wp:posOffset>57312</wp:posOffset>
                </wp:positionV>
                <wp:extent cx="1753870" cy="323850"/>
                <wp:effectExtent l="0" t="0" r="0" b="0"/>
                <wp:wrapTight wrapText="bothSides">
                  <wp:wrapPolygon edited="0">
                    <wp:start x="704" y="0"/>
                    <wp:lineTo x="704" y="20329"/>
                    <wp:lineTo x="20881" y="20329"/>
                    <wp:lineTo x="20881" y="0"/>
                    <wp:lineTo x="704" y="0"/>
                  </wp:wrapPolygon>
                </wp:wrapTight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D7" w:rsidRPr="00A170EA" w:rsidRDefault="00A558AF" w:rsidP="007E7FD7">
                            <w:pPr>
                              <w:pStyle w:val="tekstzboku"/>
                              <w:jc w:val="both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18</w:t>
                            </w:r>
                            <w:r w:rsidR="007E7FD7" w:rsidRPr="00A170EA">
                              <w:rPr>
                                <w:b/>
                                <w:sz w:val="19"/>
                                <w:szCs w:val="19"/>
                              </w:rPr>
                              <w:t>.11.201</w:t>
                            </w:r>
                            <w:r w:rsidR="00F43C6C">
                              <w:rPr>
                                <w:b/>
                                <w:sz w:val="19"/>
                                <w:szCs w:val="19"/>
                              </w:rPr>
                              <w:t>9</w:t>
                            </w:r>
                            <w:r w:rsidR="007E7FD7" w:rsidRPr="00A170EA">
                              <w:rPr>
                                <w:b/>
                                <w:sz w:val="19"/>
                                <w:szCs w:val="19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6D0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7.6pt;margin-top:4.5pt;width:138.1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" filled="f" stroked="f">
                <v:textbox>
                  <w:txbxContent>
                    <w:p w:rsidR="007E7FD7" w:rsidRPr="00A170EA" w:rsidRDefault="00A558AF" w:rsidP="007E7FD7">
                      <w:pPr>
                        <w:pStyle w:val="tekstzboku"/>
                        <w:jc w:val="both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>18</w:t>
                      </w:r>
                      <w:r w:rsidR="007E7FD7" w:rsidRPr="00A170EA">
                        <w:rPr>
                          <w:b/>
                          <w:sz w:val="19"/>
                          <w:szCs w:val="19"/>
                        </w:rPr>
                        <w:t>.11.201</w:t>
                      </w:r>
                      <w:r w:rsidR="00F43C6C">
                        <w:rPr>
                          <w:b/>
                          <w:sz w:val="19"/>
                          <w:szCs w:val="19"/>
                        </w:rPr>
                        <w:t>9</w:t>
                      </w:r>
                      <w:r w:rsidR="007E7FD7" w:rsidRPr="00A170EA">
                        <w:rPr>
                          <w:b/>
                          <w:sz w:val="19"/>
                          <w:szCs w:val="19"/>
                        </w:rPr>
                        <w:t xml:space="preserve"> 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33C3B" w:rsidRPr="00C91CD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27400" wp14:editId="26B91525">
                <wp:simplePos x="0" y="0"/>
                <wp:positionH relativeFrom="column">
                  <wp:posOffset>5019675</wp:posOffset>
                </wp:positionH>
                <wp:positionV relativeFrom="paragraph">
                  <wp:posOffset>-624367</wp:posOffset>
                </wp:positionV>
                <wp:extent cx="2060575" cy="357505"/>
                <wp:effectExtent l="0" t="0" r="0" b="4445"/>
                <wp:wrapNone/>
                <wp:docPr id="9" name="Schemat blokowy: opóźnie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60575" cy="357505"/>
                        </a:xfrm>
                        <a:custGeom>
                          <a:avLst/>
                          <a:gdLst>
                            <a:gd name="connsiteX0" fmla="*/ 0 w 612140"/>
                            <a:gd name="connsiteY0" fmla="*/ 0 h 612140"/>
                            <a:gd name="connsiteX1" fmla="*/ 306070 w 612140"/>
                            <a:gd name="connsiteY1" fmla="*/ 0 h 612140"/>
                            <a:gd name="connsiteX2" fmla="*/ 612140 w 612140"/>
                            <a:gd name="connsiteY2" fmla="*/ 306070 h 612140"/>
                            <a:gd name="connsiteX3" fmla="*/ 306070 w 612140"/>
                            <a:gd name="connsiteY3" fmla="*/ 612140 h 612140"/>
                            <a:gd name="connsiteX4" fmla="*/ 0 w 612140"/>
                            <a:gd name="connsiteY4" fmla="*/ 612140 h 612140"/>
                            <a:gd name="connsiteX5" fmla="*/ 0 w 612140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1327068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0 w 1939208"/>
                            <a:gd name="connsiteY0" fmla="*/ 0 h 612140"/>
                            <a:gd name="connsiteX1" fmla="*/ 1633138 w 1939208"/>
                            <a:gd name="connsiteY1" fmla="*/ 0 h 612140"/>
                            <a:gd name="connsiteX2" fmla="*/ 1939208 w 1939208"/>
                            <a:gd name="connsiteY2" fmla="*/ 306070 h 612140"/>
                            <a:gd name="connsiteX3" fmla="*/ 1633138 w 1939208"/>
                            <a:gd name="connsiteY3" fmla="*/ 612140 h 612140"/>
                            <a:gd name="connsiteX4" fmla="*/ 0 w 1939208"/>
                            <a:gd name="connsiteY4" fmla="*/ 612140 h 612140"/>
                            <a:gd name="connsiteX5" fmla="*/ 0 w 1939208"/>
                            <a:gd name="connsiteY5" fmla="*/ 0 h 612140"/>
                            <a:gd name="connsiteX0" fmla="*/ 1 w 3113643"/>
                            <a:gd name="connsiteY0" fmla="*/ 10131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1 w 3113643"/>
                            <a:gd name="connsiteY5" fmla="*/ 10131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1174435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113643"/>
                            <a:gd name="connsiteY0" fmla="*/ 0 h 612140"/>
                            <a:gd name="connsiteX1" fmla="*/ 2807573 w 3113643"/>
                            <a:gd name="connsiteY1" fmla="*/ 0 h 612140"/>
                            <a:gd name="connsiteX2" fmla="*/ 3113643 w 3113643"/>
                            <a:gd name="connsiteY2" fmla="*/ 306070 h 612140"/>
                            <a:gd name="connsiteX3" fmla="*/ 2807573 w 3113643"/>
                            <a:gd name="connsiteY3" fmla="*/ 612140 h 612140"/>
                            <a:gd name="connsiteX4" fmla="*/ 0 w 3113643"/>
                            <a:gd name="connsiteY4" fmla="*/ 612140 h 612140"/>
                            <a:gd name="connsiteX5" fmla="*/ 0 w 3113643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788886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0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0 w 3902529"/>
                            <a:gd name="connsiteY5" fmla="*/ 0 h 612140"/>
                            <a:gd name="connsiteX0" fmla="*/ 546911 w 3902529"/>
                            <a:gd name="connsiteY0" fmla="*/ 0 h 612140"/>
                            <a:gd name="connsiteX1" fmla="*/ 3596459 w 3902529"/>
                            <a:gd name="connsiteY1" fmla="*/ 0 h 612140"/>
                            <a:gd name="connsiteX2" fmla="*/ 3902529 w 3902529"/>
                            <a:gd name="connsiteY2" fmla="*/ 306070 h 612140"/>
                            <a:gd name="connsiteX3" fmla="*/ 3596459 w 3902529"/>
                            <a:gd name="connsiteY3" fmla="*/ 612140 h 612140"/>
                            <a:gd name="connsiteX4" fmla="*/ 0 w 3902529"/>
                            <a:gd name="connsiteY4" fmla="*/ 612140 h 612140"/>
                            <a:gd name="connsiteX5" fmla="*/ 546911 w 3902529"/>
                            <a:gd name="connsiteY5" fmla="*/ 0 h 612140"/>
                            <a:gd name="connsiteX0" fmla="*/ 23272 w 3378890"/>
                            <a:gd name="connsiteY0" fmla="*/ 0 h 612140"/>
                            <a:gd name="connsiteX1" fmla="*/ 3072820 w 3378890"/>
                            <a:gd name="connsiteY1" fmla="*/ 0 h 612140"/>
                            <a:gd name="connsiteX2" fmla="*/ 3378890 w 3378890"/>
                            <a:gd name="connsiteY2" fmla="*/ 306070 h 612140"/>
                            <a:gd name="connsiteX3" fmla="*/ 3072820 w 3378890"/>
                            <a:gd name="connsiteY3" fmla="*/ 612140 h 612140"/>
                            <a:gd name="connsiteX4" fmla="*/ 0 w 3378890"/>
                            <a:gd name="connsiteY4" fmla="*/ 612140 h 612140"/>
                            <a:gd name="connsiteX5" fmla="*/ 23272 w 3378890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19571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355618"/>
                            <a:gd name="connsiteY0" fmla="*/ 0 h 612140"/>
                            <a:gd name="connsiteX1" fmla="*/ 3049548 w 3355618"/>
                            <a:gd name="connsiteY1" fmla="*/ 0 h 612140"/>
                            <a:gd name="connsiteX2" fmla="*/ 3355618 w 3355618"/>
                            <a:gd name="connsiteY2" fmla="*/ 306070 h 612140"/>
                            <a:gd name="connsiteX3" fmla="*/ 3049548 w 3355618"/>
                            <a:gd name="connsiteY3" fmla="*/ 612140 h 612140"/>
                            <a:gd name="connsiteX4" fmla="*/ 0 w 3355618"/>
                            <a:gd name="connsiteY4" fmla="*/ 612140 h 612140"/>
                            <a:gd name="connsiteX5" fmla="*/ 0 w 33556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171400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21835 w 3527018"/>
                            <a:gd name="connsiteY4" fmla="*/ 612140 h 612140"/>
                            <a:gd name="connsiteX5" fmla="*/ 0 w 3527018"/>
                            <a:gd name="connsiteY5" fmla="*/ 0 h 612140"/>
                            <a:gd name="connsiteX0" fmla="*/ 0 w 3527018"/>
                            <a:gd name="connsiteY0" fmla="*/ 0 h 612140"/>
                            <a:gd name="connsiteX1" fmla="*/ 3220948 w 3527018"/>
                            <a:gd name="connsiteY1" fmla="*/ 0 h 612140"/>
                            <a:gd name="connsiteX2" fmla="*/ 3527018 w 3527018"/>
                            <a:gd name="connsiteY2" fmla="*/ 306070 h 612140"/>
                            <a:gd name="connsiteX3" fmla="*/ 3220948 w 3527018"/>
                            <a:gd name="connsiteY3" fmla="*/ 612140 h 612140"/>
                            <a:gd name="connsiteX4" fmla="*/ 0 w 3527018"/>
                            <a:gd name="connsiteY4" fmla="*/ 612140 h 612140"/>
                            <a:gd name="connsiteX5" fmla="*/ 0 w 3527018"/>
                            <a:gd name="connsiteY5" fmla="*/ 0 h 61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527018" h="612140">
                              <a:moveTo>
                                <a:pt x="0" y="0"/>
                              </a:moveTo>
                              <a:lnTo>
                                <a:pt x="3220948" y="0"/>
                              </a:lnTo>
                              <a:cubicBezTo>
                                <a:pt x="3389986" y="0"/>
                                <a:pt x="3527018" y="137032"/>
                                <a:pt x="3527018" y="306070"/>
                              </a:cubicBezTo>
                              <a:cubicBezTo>
                                <a:pt x="3527018" y="475108"/>
                                <a:pt x="3389986" y="612140"/>
                                <a:pt x="3220948" y="612140"/>
                              </a:cubicBezTo>
                              <a:lnTo>
                                <a:pt x="0" y="6121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FD7" w:rsidRPr="003C6C8D" w:rsidRDefault="007E7FD7" w:rsidP="007E7FD7">
                            <w:pPr>
                              <w:spacing w:after="0" w:line="240" w:lineRule="auto"/>
                              <w:ind w:left="227"/>
                              <w:jc w:val="both"/>
                              <w:rPr>
                                <w:rFonts w:ascii="Fira Sans SemiBold" w:hAnsi="Fira Sans SemiBold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</w:rPr>
                              <w:t>INFORMACJE SYGNALNE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7400" id="Schemat blokowy: opóźnienie 6" o:spid="_x0000_s1027" style="position:absolute;margin-left:395.25pt;margin-top:-49.15pt;width:162.25pt;height:28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TvOwYAABE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" adj="-11796480,,5400" path="m,l3220948,v169038,,306070,137032,306070,306070c3527018,475108,3389986,612140,3220948,612140l,612140,,xe" fillcolor="#001d77" stroked="f" strokeweight="1pt">
                <v:stroke joinstyle="miter"/>
                <v:formulas/>
                <v:path arrowok="t" o:connecttype="custom" o:connectlocs="0,0;1881761,0;2060575,178753;1881761,357505;0,357505;0,0" o:connectangles="0,0,0,0,0,0" textboxrect="0,0,3527018,612140"/>
                <v:textbox>
                  <w:txbxContent>
                    <w:p w:rsidR="007E7FD7" w:rsidRPr="003C6C8D" w:rsidRDefault="007E7FD7" w:rsidP="007E7FD7">
                      <w:pPr>
                        <w:spacing w:after="0" w:line="240" w:lineRule="auto"/>
                        <w:ind w:left="227"/>
                        <w:jc w:val="both"/>
                        <w:rPr>
                          <w:rFonts w:ascii="Fira Sans SemiBold" w:hAnsi="Fira Sans SemiBold"/>
                        </w:rPr>
                      </w:pPr>
                      <w:r>
                        <w:rPr>
                          <w:rFonts w:ascii="Fira Sans SemiBold" w:hAnsi="Fira Sans SemiBold"/>
                        </w:rPr>
                        <w:t>INFORMACJE SYGNALNE</w:t>
                      </w:r>
                    </w:p>
                  </w:txbxContent>
                </v:textbox>
              </v:shape>
            </w:pict>
          </mc:Fallback>
        </mc:AlternateContent>
      </w:r>
      <w:r w:rsidR="00FA24DA" w:rsidRPr="00C91CD6">
        <w:rPr>
          <w:rFonts w:ascii="Fira Sans Extra Condensed SemiB" w:hAnsi="Fira Sans Extra Condensed SemiB"/>
          <w:sz w:val="40"/>
          <w:szCs w:val="40"/>
        </w:rPr>
        <w:t>Energia ze źródeł odnawia</w:t>
      </w:r>
      <w:r w:rsidR="00337E45" w:rsidRPr="00C91CD6">
        <w:rPr>
          <w:rFonts w:ascii="Fira Sans Extra Condensed SemiB" w:hAnsi="Fira Sans Extra Condensed SemiB"/>
          <w:sz w:val="40"/>
          <w:szCs w:val="40"/>
        </w:rPr>
        <w:t>l</w:t>
      </w:r>
      <w:r w:rsidR="00FA24DA" w:rsidRPr="00C91CD6">
        <w:rPr>
          <w:rFonts w:ascii="Fira Sans Extra Condensed SemiB" w:hAnsi="Fira Sans Extra Condensed SemiB"/>
          <w:sz w:val="40"/>
          <w:szCs w:val="40"/>
        </w:rPr>
        <w:t>nych</w:t>
      </w:r>
      <w:r w:rsidRPr="00C91CD6">
        <w:rPr>
          <w:rFonts w:ascii="Fira Sans Extra Condensed SemiB" w:hAnsi="Fira Sans Extra Condensed SemiB"/>
          <w:sz w:val="40"/>
          <w:szCs w:val="40"/>
        </w:rPr>
        <w:t xml:space="preserve"> w 2018 r.</w:t>
      </w:r>
    </w:p>
    <w:p w:rsidR="00AD15BA" w:rsidRPr="00882E09" w:rsidRDefault="00AD15BA" w:rsidP="00AD15BA">
      <w:pPr>
        <w:spacing w:after="120" w:line="240" w:lineRule="auto"/>
        <w:rPr>
          <w:rFonts w:ascii="Fira Sans Extra Condensed SemiB" w:hAnsi="Fira Sans Extra Condensed SemiB"/>
          <w:sz w:val="40"/>
          <w:szCs w:val="40"/>
        </w:rPr>
      </w:pPr>
    </w:p>
    <w:p w:rsidR="00FA24DA" w:rsidRPr="00882E09" w:rsidRDefault="00FA24DA" w:rsidP="002F5393">
      <w:pPr>
        <w:pStyle w:val="LID"/>
        <w:spacing w:before="0"/>
      </w:pPr>
      <w:r w:rsidRPr="00882E09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BE3594" wp14:editId="241A3008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2052000" cy="1296000"/>
                <wp:effectExtent l="0" t="0" r="571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12960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CB5868" w:rsidRDefault="00FA24DA" w:rsidP="00005A39">
                            <w:pPr>
                              <w:spacing w:before="120"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61BD8404" wp14:editId="3E7E6C8A">
                                  <wp:extent cx="336458" cy="336458"/>
                                  <wp:effectExtent l="0" t="0" r="6985" b="698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547" cy="337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  </w:t>
                            </w:r>
                            <w:r w:rsidRPr="00231F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11,</w:t>
                            </w:r>
                            <w:r w:rsidR="001F2CCC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16</w:t>
                            </w:r>
                            <w:r w:rsidRPr="00231F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  <w:p w:rsidR="00FA24DA" w:rsidRPr="00D2421E" w:rsidRDefault="00FA24DA" w:rsidP="00D87034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2421E">
                              <w:rPr>
                                <w:rFonts w:ascii="Fira Sans" w:eastAsia="Times New Roman" w:hAnsi="Fira Sans" w:cstheme="minorHAnsi"/>
                                <w:sz w:val="20"/>
                                <w:szCs w:val="20"/>
                                <w:lang w:eastAsia="pl-PL"/>
                              </w:rPr>
                              <w:t>Udział energii ze źródeł odnawialnych w końcowym zużyciu energii brutto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3594" id="_x0000_s1029" type="#_x0000_t202" style="position:absolute;margin-left:0;margin-top:2.6pt;width:161.55pt;height:102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" fillcolor="#001d77" stroked="f">
                <v:textbox>
                  <w:txbxContent>
                    <w:p w:rsidR="00FA24DA" w:rsidRPr="00CB5868" w:rsidRDefault="00FA24DA" w:rsidP="00005A39">
                      <w:pPr>
                        <w:spacing w:before="120"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61BD8404" wp14:editId="3E7E6C8A">
                            <wp:extent cx="336458" cy="336458"/>
                            <wp:effectExtent l="0" t="0" r="6985" b="698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547" cy="337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  </w:t>
                      </w:r>
                      <w:r w:rsidRPr="00231F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11,</w:t>
                      </w:r>
                      <w:r w:rsidR="001F2CCC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16</w:t>
                      </w:r>
                      <w:r w:rsidRPr="00231F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  <w:p w:rsidR="00FA24DA" w:rsidRPr="00D2421E" w:rsidRDefault="00FA24DA" w:rsidP="00D87034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2421E">
                        <w:rPr>
                          <w:rFonts w:ascii="Fira Sans" w:eastAsia="Times New Roman" w:hAnsi="Fira Sans" w:cstheme="minorHAnsi"/>
                          <w:sz w:val="20"/>
                          <w:szCs w:val="20"/>
                          <w:lang w:eastAsia="pl-PL"/>
                        </w:rPr>
                        <w:t>Udział energii ze źródeł odnawialnych w końcowym zużyciu energii brutto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E09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15E67" wp14:editId="7E7F516F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8999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446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B66B19" w:rsidRDefault="00FA24DA" w:rsidP="00FA24DA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61950" cy="352425"/>
                                  <wp:effectExtent l="0" t="0" r="0" b="952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3F314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109,0</w:t>
                            </w:r>
                          </w:p>
                          <w:p w:rsidR="00FA24DA" w:rsidRPr="003F3148" w:rsidRDefault="00FA24DA" w:rsidP="00FA24DA">
                            <w:pPr>
                              <w:pStyle w:val="tekstnaniebieskimtle"/>
                            </w:pPr>
                            <w:r w:rsidRPr="003F3148">
                              <w:t>Produkcja sprzedana przemysłu w porównaniu ze styczniem ub. roku</w:t>
                            </w:r>
                          </w:p>
                          <w:p w:rsidR="00FA24DA" w:rsidRPr="003F3148" w:rsidRDefault="00FA24DA" w:rsidP="00FA24DA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5E67" id="_x0000_s1030" type="#_x0000_t202" style="position:absolute;margin-left:0;margin-top:6.55pt;width:2in;height:93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" fillcolor="#001d77" stroked="f">
                <v:textbox>
                  <w:txbxContent>
                    <w:p w:rsidR="00FA24DA" w:rsidRPr="00B66B19" w:rsidRDefault="00FA24DA" w:rsidP="00FA24DA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>
                            <wp:extent cx="361950" cy="352425"/>
                            <wp:effectExtent l="0" t="0" r="0" b="952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3F314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109,0</w:t>
                      </w:r>
                    </w:p>
                    <w:p w:rsidR="00FA24DA" w:rsidRPr="003F3148" w:rsidRDefault="00FA24DA" w:rsidP="00FA24DA">
                      <w:pPr>
                        <w:pStyle w:val="tekstnaniebieskimtle"/>
                      </w:pPr>
                      <w:r w:rsidRPr="003F3148">
                        <w:t>Produkcja sprzedana przemysłu w porównaniu ze styczniem ub. roku</w:t>
                      </w:r>
                    </w:p>
                    <w:p w:rsidR="00FA24DA" w:rsidRPr="003F3148" w:rsidRDefault="00FA24DA" w:rsidP="00FA24DA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CA4" w:rsidRPr="00882E09">
        <w:t>W</w:t>
      </w:r>
      <w:r w:rsidR="00E0540D" w:rsidRPr="00882E09">
        <w:t xml:space="preserve"> 2018</w:t>
      </w:r>
      <w:r w:rsidR="00957E96">
        <w:t xml:space="preserve"> </w:t>
      </w:r>
      <w:r w:rsidR="003E60B7">
        <w:t>r. wskaźnik udział</w:t>
      </w:r>
      <w:r w:rsidR="00E0540D" w:rsidRPr="00882E09">
        <w:t>u energii ze źrode</w:t>
      </w:r>
      <w:r w:rsidR="00957E96">
        <w:t>ł</w:t>
      </w:r>
      <w:r w:rsidR="00E0540D" w:rsidRPr="00882E09">
        <w:t xml:space="preserve"> odnawialnych w końcowym zużyciu energii brutto wzrós</w:t>
      </w:r>
      <w:r w:rsidR="00957E96">
        <w:t>ł</w:t>
      </w:r>
      <w:r w:rsidR="00E0540D" w:rsidRPr="00882E09">
        <w:t xml:space="preserve"> </w:t>
      </w:r>
      <w:r w:rsidR="00DC72ED">
        <w:t xml:space="preserve">w skali roku </w:t>
      </w:r>
      <w:r w:rsidR="00E0540D" w:rsidRPr="00882E09">
        <w:t>o 0</w:t>
      </w:r>
      <w:r w:rsidR="00DC72ED">
        <w:t>,</w:t>
      </w:r>
      <w:r w:rsidR="00E0540D" w:rsidRPr="00882E09">
        <w:t>26 p.proc. do 11</w:t>
      </w:r>
      <w:r w:rsidR="00DC72ED">
        <w:t>,</w:t>
      </w:r>
      <w:r w:rsidR="00E0540D" w:rsidRPr="00882E09">
        <w:t>16 %</w:t>
      </w:r>
      <w:r w:rsidR="00592CA4" w:rsidRPr="00882E09">
        <w:t>.</w:t>
      </w:r>
    </w:p>
    <w:p w:rsidR="00630AAC" w:rsidRPr="00882E09" w:rsidRDefault="00630AAC" w:rsidP="00630AAC">
      <w:pPr>
        <w:spacing w:after="0" w:line="240" w:lineRule="exact"/>
        <w:rPr>
          <w:rFonts w:ascii="Fira Sans" w:hAnsi="Fira Sans"/>
          <w:sz w:val="19"/>
          <w:szCs w:val="19"/>
        </w:rPr>
      </w:pPr>
    </w:p>
    <w:p w:rsidR="006C243F" w:rsidRPr="00AD2084" w:rsidRDefault="006C243F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5A6152" w:rsidRPr="00AD2084" w:rsidRDefault="005A615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5A6152" w:rsidRPr="00AD2084" w:rsidRDefault="005A615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5A6152" w:rsidRPr="00AD2084" w:rsidRDefault="005A6152" w:rsidP="00630AAC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9E1ABC" w:rsidRPr="00882E09" w:rsidRDefault="009E1ABC" w:rsidP="005A6152">
      <w:pPr>
        <w:spacing w:after="0" w:line="240" w:lineRule="auto"/>
        <w:rPr>
          <w:rFonts w:ascii="Fira Sans" w:hAnsi="Fira Sans"/>
          <w:sz w:val="19"/>
          <w:szCs w:val="19"/>
        </w:rPr>
      </w:pPr>
    </w:p>
    <w:p w:rsidR="002F13BC" w:rsidRPr="00882E09" w:rsidRDefault="00E84310" w:rsidP="002F5393">
      <w:pPr>
        <w:pStyle w:val="Nagwek1"/>
        <w:spacing w:after="120" w:line="240" w:lineRule="auto"/>
        <w:rPr>
          <w:rFonts w:ascii="Fira Sans SemiBold" w:hAnsi="Fira Sans SemiBold"/>
          <w:color w:val="001D77"/>
          <w:sz w:val="19"/>
          <w:szCs w:val="19"/>
        </w:rPr>
      </w:pPr>
      <w:r w:rsidRPr="00882E09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CE4D259" wp14:editId="416667E4">
                <wp:simplePos x="0" y="0"/>
                <wp:positionH relativeFrom="column">
                  <wp:posOffset>5274945</wp:posOffset>
                </wp:positionH>
                <wp:positionV relativeFrom="paragraph">
                  <wp:posOffset>274955</wp:posOffset>
                </wp:positionV>
                <wp:extent cx="1753870" cy="936000"/>
                <wp:effectExtent l="0" t="0" r="0" b="0"/>
                <wp:wrapTight wrapText="bothSides">
                  <wp:wrapPolygon edited="0">
                    <wp:start x="704" y="0"/>
                    <wp:lineTo x="704" y="21102"/>
                    <wp:lineTo x="20881" y="21102"/>
                    <wp:lineTo x="20881" y="0"/>
                    <wp:lineTo x="704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93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D5" w:rsidRPr="00C275DE" w:rsidRDefault="00C173ED" w:rsidP="002F5393">
                            <w:pPr>
                              <w:pStyle w:val="tekstzboku"/>
                            </w:pPr>
                            <w:r w:rsidRPr="00882E09">
                              <w:t>Udział energii ze źródeł odnawialnych w pozyskaniu energii</w:t>
                            </w:r>
                            <w:r w:rsidR="00E84310" w:rsidRPr="00882E09">
                              <w:t xml:space="preserve"> pierwotnej ogółem wzrósł w latach 2014-2018 z </w:t>
                            </w:r>
                            <w:r w:rsidR="009551E0" w:rsidRPr="00882E09">
                              <w:t>12,1</w:t>
                            </w:r>
                            <w:r w:rsidR="00727DCD">
                              <w:t>2</w:t>
                            </w:r>
                            <w:r w:rsidR="00E84310" w:rsidRPr="00882E09">
                              <w:t xml:space="preserve">% do </w:t>
                            </w:r>
                            <w:r w:rsidR="009551E0" w:rsidRPr="00882E09">
                              <w:t>14,3</w:t>
                            </w:r>
                            <w:r w:rsidR="00727DCD">
                              <w:t>1</w:t>
                            </w:r>
                            <w:r w:rsidR="009551E0" w:rsidRPr="00882E09"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D259" id="_x0000_s1031" type="#_x0000_t202" style="position:absolute;margin-left:415.35pt;margin-top:21.65pt;width:138.1pt;height:73.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" filled="f" stroked="f">
                <v:textbox>
                  <w:txbxContent>
                    <w:p w:rsidR="00A43ED5" w:rsidRPr="00C275DE" w:rsidRDefault="00C173ED" w:rsidP="002F5393">
                      <w:pPr>
                        <w:pStyle w:val="tekstzboku"/>
                      </w:pPr>
                      <w:r w:rsidRPr="00882E09">
                        <w:t>Udział energii ze źródeł odnawialnych w pozyskaniu energii</w:t>
                      </w:r>
                      <w:r w:rsidR="00E84310" w:rsidRPr="00882E09">
                        <w:t xml:space="preserve"> pierwotnej ogółem wzrósł w latach 2014-2018 z </w:t>
                      </w:r>
                      <w:r w:rsidR="009551E0" w:rsidRPr="00882E09">
                        <w:t>12,1</w:t>
                      </w:r>
                      <w:r w:rsidR="00727DCD">
                        <w:t>2</w:t>
                      </w:r>
                      <w:r w:rsidR="00E84310" w:rsidRPr="00882E09">
                        <w:t xml:space="preserve">% do </w:t>
                      </w:r>
                      <w:r w:rsidR="009551E0" w:rsidRPr="00882E09">
                        <w:t>14,3</w:t>
                      </w:r>
                      <w:r w:rsidR="00727DCD">
                        <w:t>1</w:t>
                      </w:r>
                      <w:r w:rsidR="009551E0" w:rsidRPr="00882E09"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47CC" w:rsidRPr="00882E09">
        <w:rPr>
          <w:rFonts w:ascii="Fira Sans SemiBold" w:hAnsi="Fira Sans SemiBold"/>
          <w:color w:val="001D77"/>
          <w:sz w:val="19"/>
          <w:szCs w:val="19"/>
        </w:rPr>
        <w:t>Pozyskanie</w:t>
      </w:r>
      <w:r w:rsidR="00C173ED" w:rsidRPr="00882E09">
        <w:rPr>
          <w:rFonts w:ascii="Fira Sans SemiBold" w:hAnsi="Fira Sans SemiBold"/>
          <w:color w:val="001D77"/>
          <w:sz w:val="19"/>
          <w:szCs w:val="19"/>
        </w:rPr>
        <w:t xml:space="preserve"> energii ze źródeł odnawialnych w Polsce</w:t>
      </w:r>
    </w:p>
    <w:p w:rsidR="002B6E42" w:rsidRPr="00882E09" w:rsidRDefault="002F13BC" w:rsidP="002F5393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>W warunkach krajowych energia ze źródeł odnawialnych obejmuje energię promieniowania słonecznego, wody, wiatru, zasobów geotermalnych</w:t>
      </w:r>
      <w:r w:rsidR="009F388F" w:rsidRPr="00882E09">
        <w:rPr>
          <w:rFonts w:ascii="Fira Sans" w:hAnsi="Fira Sans"/>
          <w:sz w:val="19"/>
          <w:szCs w:val="19"/>
        </w:rPr>
        <w:t>,</w:t>
      </w:r>
      <w:r w:rsidRPr="00882E09">
        <w:rPr>
          <w:rFonts w:ascii="Fira Sans" w:hAnsi="Fira Sans"/>
          <w:sz w:val="19"/>
          <w:szCs w:val="19"/>
        </w:rPr>
        <w:t xml:space="preserve"> energię wytworzoną z biopaliw stałych, biogazu i biopaliw ciekłych, a także energię otoczenia </w:t>
      </w:r>
      <w:r w:rsidR="009115B1" w:rsidRPr="00882E09">
        <w:rPr>
          <w:rFonts w:ascii="Fira Sans" w:hAnsi="Fira Sans"/>
          <w:sz w:val="19"/>
          <w:szCs w:val="19"/>
        </w:rPr>
        <w:t>pozyskiwaną przez pompy ciepła.</w:t>
      </w:r>
    </w:p>
    <w:p w:rsidR="002B6E42" w:rsidRPr="00882E09" w:rsidRDefault="00DD2E27" w:rsidP="002F5393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882E09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4AE27D1" wp14:editId="483A37F8">
                <wp:simplePos x="0" y="0"/>
                <wp:positionH relativeFrom="column">
                  <wp:posOffset>5311140</wp:posOffset>
                </wp:positionH>
                <wp:positionV relativeFrom="paragraph">
                  <wp:posOffset>400355</wp:posOffset>
                </wp:positionV>
                <wp:extent cx="1753870" cy="935990"/>
                <wp:effectExtent l="0" t="0" r="0" b="0"/>
                <wp:wrapTight wrapText="bothSides">
                  <wp:wrapPolygon edited="0">
                    <wp:start x="704" y="0"/>
                    <wp:lineTo x="704" y="21102"/>
                    <wp:lineTo x="20881" y="21102"/>
                    <wp:lineTo x="20881" y="0"/>
                    <wp:lineTo x="704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A1" w:rsidRPr="00C275DE" w:rsidRDefault="00A57FA1" w:rsidP="00A57FA1">
                            <w:pPr>
                              <w:pStyle w:val="tekstzboku"/>
                            </w:pPr>
                            <w:r w:rsidRPr="00A57FA1">
                              <w:t xml:space="preserve">Łączna wartość energetyczna pozyskanej energii pierwotnej ze źródeł odnawialnych w Polsce w 2018 r. wyniosła </w:t>
                            </w:r>
                            <w:r>
                              <w:br/>
                            </w:r>
                            <w:r w:rsidRPr="00A57FA1">
                              <w:t>367 091 TJ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27D1" id="_x0000_s1032" type="#_x0000_t202" style="position:absolute;margin-left:418.2pt;margin-top:31.5pt;width:138.1pt;height:73.7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" filled="f" stroked="f">
                <v:textbox>
                  <w:txbxContent>
                    <w:p w:rsidR="00A57FA1" w:rsidRPr="00C275DE" w:rsidRDefault="00A57FA1" w:rsidP="00A57FA1">
                      <w:pPr>
                        <w:pStyle w:val="tekstzboku"/>
                      </w:pPr>
                      <w:r w:rsidRPr="00A57FA1">
                        <w:t xml:space="preserve">Łączna wartość energetyczna pozyskanej energii pierwotnej ze źródeł odnawialnych w Polsce w 2018 r. wyniosła </w:t>
                      </w:r>
                      <w:r>
                        <w:br/>
                      </w:r>
                      <w:r w:rsidRPr="00A57FA1">
                        <w:t>367 091 TJ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6E42" w:rsidRPr="00882E09">
        <w:rPr>
          <w:rFonts w:ascii="Fira Sans" w:hAnsi="Fira Sans"/>
          <w:sz w:val="19"/>
          <w:szCs w:val="19"/>
        </w:rPr>
        <w:t xml:space="preserve">Pozyskanie tej formy energii wykazywało w ostatnich latach niewielką tendencję zwyżkową. Udział energii ze źródeł odnawialnych w pozyskaniu energii pierwotnej ogółem wzrósł w latach 2014-2018 z </w:t>
      </w:r>
      <w:r w:rsidR="00E45E87" w:rsidRPr="00882E09">
        <w:rPr>
          <w:rFonts w:ascii="Fira Sans" w:hAnsi="Fira Sans"/>
          <w:sz w:val="19"/>
          <w:szCs w:val="19"/>
        </w:rPr>
        <w:t>12,1</w:t>
      </w:r>
      <w:r w:rsidR="00727DCD">
        <w:rPr>
          <w:rFonts w:ascii="Fira Sans" w:hAnsi="Fira Sans"/>
          <w:sz w:val="19"/>
          <w:szCs w:val="19"/>
        </w:rPr>
        <w:t>2</w:t>
      </w:r>
      <w:r w:rsidR="002B6E42" w:rsidRPr="00882E09">
        <w:rPr>
          <w:rFonts w:ascii="Fira Sans" w:hAnsi="Fira Sans"/>
          <w:sz w:val="19"/>
          <w:szCs w:val="19"/>
        </w:rPr>
        <w:t xml:space="preserve">% do </w:t>
      </w:r>
      <w:r w:rsidR="00E45E87" w:rsidRPr="00882E09">
        <w:rPr>
          <w:rFonts w:ascii="Fira Sans" w:hAnsi="Fira Sans"/>
          <w:sz w:val="19"/>
          <w:szCs w:val="19"/>
        </w:rPr>
        <w:t>14,3</w:t>
      </w:r>
      <w:r w:rsidR="00727DCD">
        <w:rPr>
          <w:rFonts w:ascii="Fira Sans" w:hAnsi="Fira Sans"/>
          <w:sz w:val="19"/>
          <w:szCs w:val="19"/>
        </w:rPr>
        <w:t>1</w:t>
      </w:r>
      <w:r w:rsidR="002B6E42" w:rsidRPr="00882E09">
        <w:rPr>
          <w:rFonts w:ascii="Fira Sans" w:hAnsi="Fira Sans"/>
          <w:sz w:val="19"/>
          <w:szCs w:val="19"/>
        </w:rPr>
        <w:t>%.</w:t>
      </w:r>
    </w:p>
    <w:p w:rsidR="002F13BC" w:rsidRPr="00882E09" w:rsidRDefault="002F13BC" w:rsidP="002F5393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>Struktura pozyskania energii ze źródeł odnawialnych dla Polski wynika przede wszystkim z charakterystycznych dla naszego kraju warunków geograficznych i możliwych do zagospodarowania zasobów. Energia pozyskiwana ze źródeł odnawialnych w Polsce w 201</w:t>
      </w:r>
      <w:r w:rsidR="00F43C6C" w:rsidRPr="00882E09">
        <w:rPr>
          <w:rFonts w:ascii="Fira Sans" w:hAnsi="Fira Sans"/>
          <w:sz w:val="19"/>
          <w:szCs w:val="19"/>
        </w:rPr>
        <w:t>8</w:t>
      </w:r>
      <w:r w:rsidRPr="00882E09">
        <w:rPr>
          <w:rFonts w:ascii="Fira Sans" w:hAnsi="Fira Sans"/>
          <w:sz w:val="19"/>
          <w:szCs w:val="19"/>
        </w:rPr>
        <w:t xml:space="preserve"> r. pochodzi w przeważającym stopniu z biopaliw stałych (</w:t>
      </w:r>
      <w:r w:rsidR="00DB6CF6" w:rsidRPr="00882E09">
        <w:rPr>
          <w:rFonts w:ascii="Fira Sans" w:hAnsi="Fira Sans"/>
          <w:sz w:val="19"/>
          <w:szCs w:val="19"/>
        </w:rPr>
        <w:t>6</w:t>
      </w:r>
      <w:r w:rsidR="006F457C" w:rsidRPr="00882E09">
        <w:rPr>
          <w:rFonts w:ascii="Fira Sans" w:hAnsi="Fira Sans"/>
          <w:sz w:val="19"/>
          <w:szCs w:val="19"/>
        </w:rPr>
        <w:t>8</w:t>
      </w:r>
      <w:r w:rsidR="00DB6CF6" w:rsidRPr="00882E09">
        <w:rPr>
          <w:rFonts w:ascii="Fira Sans" w:hAnsi="Fira Sans"/>
          <w:sz w:val="19"/>
          <w:szCs w:val="19"/>
        </w:rPr>
        <w:t>,</w:t>
      </w:r>
      <w:r w:rsidR="007A6988" w:rsidRPr="00882E09">
        <w:rPr>
          <w:rFonts w:ascii="Fira Sans" w:hAnsi="Fira Sans"/>
          <w:sz w:val="19"/>
          <w:szCs w:val="19"/>
        </w:rPr>
        <w:t>8</w:t>
      </w:r>
      <w:r w:rsidR="00560824" w:rsidRPr="00882E09">
        <w:rPr>
          <w:rFonts w:ascii="Fira Sans" w:hAnsi="Fira Sans"/>
          <w:sz w:val="19"/>
          <w:szCs w:val="19"/>
        </w:rPr>
        <w:t>8</w:t>
      </w:r>
      <w:r w:rsidRPr="00882E09">
        <w:rPr>
          <w:rFonts w:ascii="Fira Sans" w:hAnsi="Fira Sans"/>
          <w:sz w:val="19"/>
          <w:szCs w:val="19"/>
        </w:rPr>
        <w:t>%), energii wiatru (1</w:t>
      </w:r>
      <w:r w:rsidR="006F457C" w:rsidRPr="00882E09">
        <w:rPr>
          <w:rFonts w:ascii="Fira Sans" w:hAnsi="Fira Sans"/>
          <w:sz w:val="19"/>
          <w:szCs w:val="19"/>
        </w:rPr>
        <w:t>2</w:t>
      </w:r>
      <w:r w:rsidRPr="00882E09">
        <w:rPr>
          <w:rFonts w:ascii="Fira Sans" w:hAnsi="Fira Sans"/>
          <w:sz w:val="19"/>
          <w:szCs w:val="19"/>
        </w:rPr>
        <w:t>,</w:t>
      </w:r>
      <w:r w:rsidR="006F457C" w:rsidRPr="00882E09">
        <w:rPr>
          <w:rFonts w:ascii="Fira Sans" w:hAnsi="Fira Sans"/>
          <w:sz w:val="19"/>
          <w:szCs w:val="19"/>
        </w:rPr>
        <w:t>55</w:t>
      </w:r>
      <w:r w:rsidRPr="00882E09">
        <w:rPr>
          <w:rFonts w:ascii="Fira Sans" w:hAnsi="Fira Sans"/>
          <w:sz w:val="19"/>
          <w:szCs w:val="19"/>
        </w:rPr>
        <w:t>%) i z biopaliw ciekłych (10,</w:t>
      </w:r>
      <w:r w:rsidR="006F457C" w:rsidRPr="00882E09">
        <w:rPr>
          <w:rFonts w:ascii="Fira Sans" w:hAnsi="Fira Sans"/>
          <w:sz w:val="19"/>
          <w:szCs w:val="19"/>
        </w:rPr>
        <w:t>33</w:t>
      </w:r>
      <w:r w:rsidRPr="00882E09">
        <w:rPr>
          <w:rFonts w:ascii="Fira Sans" w:hAnsi="Fira Sans"/>
          <w:sz w:val="19"/>
          <w:szCs w:val="19"/>
        </w:rPr>
        <w:t>%).</w:t>
      </w:r>
      <w:r w:rsidR="007A6988" w:rsidRPr="00882E09">
        <w:rPr>
          <w:rFonts w:ascii="Fira Sans" w:hAnsi="Fira Sans"/>
          <w:sz w:val="19"/>
          <w:szCs w:val="19"/>
        </w:rPr>
        <w:t xml:space="preserve"> Łączna wartość energetyczna pozyskanej energii </w:t>
      </w:r>
      <w:r w:rsidR="00F30779" w:rsidRPr="00882E09">
        <w:rPr>
          <w:rFonts w:ascii="Fira Sans" w:hAnsi="Fira Sans"/>
          <w:sz w:val="19"/>
          <w:szCs w:val="19"/>
        </w:rPr>
        <w:t xml:space="preserve">pierwotnej </w:t>
      </w:r>
      <w:r w:rsidR="007A6988" w:rsidRPr="00882E09">
        <w:rPr>
          <w:rFonts w:ascii="Fira Sans" w:hAnsi="Fira Sans"/>
          <w:sz w:val="19"/>
          <w:szCs w:val="19"/>
        </w:rPr>
        <w:t>ze źródeł odnawia</w:t>
      </w:r>
      <w:r w:rsidR="00B934DB" w:rsidRPr="00882E09">
        <w:rPr>
          <w:rFonts w:ascii="Fira Sans" w:hAnsi="Fira Sans"/>
          <w:sz w:val="19"/>
          <w:szCs w:val="19"/>
        </w:rPr>
        <w:t>l</w:t>
      </w:r>
      <w:r w:rsidR="007A6988" w:rsidRPr="00882E09">
        <w:rPr>
          <w:rFonts w:ascii="Fira Sans" w:hAnsi="Fira Sans"/>
          <w:sz w:val="19"/>
          <w:szCs w:val="19"/>
        </w:rPr>
        <w:t>nych w Polsce w 201</w:t>
      </w:r>
      <w:r w:rsidR="006F457C" w:rsidRPr="00882E09">
        <w:rPr>
          <w:rFonts w:ascii="Fira Sans" w:hAnsi="Fira Sans"/>
          <w:sz w:val="19"/>
          <w:szCs w:val="19"/>
        </w:rPr>
        <w:t>8</w:t>
      </w:r>
      <w:r w:rsidR="007A6988" w:rsidRPr="00882E09">
        <w:rPr>
          <w:rFonts w:ascii="Fira Sans" w:hAnsi="Fira Sans"/>
          <w:sz w:val="19"/>
          <w:szCs w:val="19"/>
        </w:rPr>
        <w:t xml:space="preserve"> r. wyniosła </w:t>
      </w:r>
      <w:r w:rsidR="00367DD4" w:rsidRPr="00882E09">
        <w:rPr>
          <w:rFonts w:ascii="Fira Sans" w:hAnsi="Fira Sans"/>
          <w:sz w:val="19"/>
          <w:szCs w:val="19"/>
        </w:rPr>
        <w:t>3</w:t>
      </w:r>
      <w:r w:rsidR="00A40CBE" w:rsidRPr="00882E09">
        <w:rPr>
          <w:rFonts w:ascii="Fira Sans" w:hAnsi="Fira Sans"/>
          <w:sz w:val="19"/>
          <w:szCs w:val="19"/>
        </w:rPr>
        <w:t>67</w:t>
      </w:r>
      <w:r w:rsidR="00367DD4" w:rsidRPr="00882E09">
        <w:rPr>
          <w:rFonts w:ascii="Fira Sans" w:hAnsi="Fira Sans"/>
          <w:sz w:val="19"/>
          <w:szCs w:val="19"/>
        </w:rPr>
        <w:t xml:space="preserve"> </w:t>
      </w:r>
      <w:r w:rsidR="00560824" w:rsidRPr="00882E09">
        <w:rPr>
          <w:rFonts w:ascii="Fira Sans" w:hAnsi="Fira Sans"/>
          <w:sz w:val="19"/>
          <w:szCs w:val="19"/>
        </w:rPr>
        <w:t>091</w:t>
      </w:r>
      <w:r w:rsidR="007038B4" w:rsidRPr="00882E09">
        <w:rPr>
          <w:rFonts w:ascii="Fira Sans" w:hAnsi="Fira Sans"/>
          <w:sz w:val="19"/>
          <w:szCs w:val="19"/>
        </w:rPr>
        <w:t xml:space="preserve"> TJ.</w:t>
      </w:r>
    </w:p>
    <w:p w:rsidR="002F13BC" w:rsidRPr="00882E09" w:rsidRDefault="00DB6CF6" w:rsidP="00642D53">
      <w:pPr>
        <w:pStyle w:val="Nagwek1"/>
        <w:spacing w:after="120" w:line="240" w:lineRule="auto"/>
        <w:rPr>
          <w:rFonts w:ascii="Fira Sans" w:hAnsi="Fira Sans"/>
          <w:color w:val="auto"/>
          <w:sz w:val="18"/>
          <w:szCs w:val="18"/>
        </w:rPr>
      </w:pPr>
      <w:r w:rsidRPr="00882E09">
        <w:rPr>
          <w:rFonts w:ascii="Fira Sans" w:hAnsi="Fira Sans"/>
          <w:b/>
          <w:bCs/>
          <w:color w:val="auto"/>
          <w:sz w:val="18"/>
          <w:szCs w:val="18"/>
        </w:rPr>
        <w:t>Wykres 1</w:t>
      </w:r>
      <w:r w:rsidRPr="00882E09">
        <w:rPr>
          <w:rFonts w:ascii="Fira Sans" w:hAnsi="Fira Sans"/>
          <w:b/>
          <w:color w:val="auto"/>
          <w:sz w:val="18"/>
          <w:szCs w:val="18"/>
        </w:rPr>
        <w:t xml:space="preserve">. </w:t>
      </w:r>
      <w:r w:rsidR="0034410F" w:rsidRPr="00882E09">
        <w:rPr>
          <w:rFonts w:ascii="Fira Sans" w:hAnsi="Fira Sans"/>
          <w:b/>
          <w:color w:val="auto"/>
          <w:sz w:val="18"/>
          <w:szCs w:val="18"/>
        </w:rPr>
        <w:t>Struktura pozyskania energii ze źródeł odnawialnych w Polsce wg nośników w 201</w:t>
      </w:r>
      <w:r w:rsidR="00F43C6C" w:rsidRPr="00882E09">
        <w:rPr>
          <w:rFonts w:ascii="Fira Sans" w:hAnsi="Fira Sans"/>
          <w:b/>
          <w:color w:val="auto"/>
          <w:sz w:val="18"/>
          <w:szCs w:val="18"/>
        </w:rPr>
        <w:t>8</w:t>
      </w:r>
      <w:r w:rsidR="0034410F" w:rsidRPr="00882E09">
        <w:rPr>
          <w:rFonts w:ascii="Fira Sans" w:hAnsi="Fira Sans"/>
          <w:b/>
          <w:color w:val="auto"/>
          <w:sz w:val="18"/>
          <w:szCs w:val="18"/>
        </w:rPr>
        <w:t xml:space="preserve"> r.</w:t>
      </w:r>
    </w:p>
    <w:p w:rsidR="002F13BC" w:rsidRPr="00882E09" w:rsidRDefault="00560824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noProof/>
          <w:lang w:eastAsia="pl-PL"/>
        </w:rPr>
        <w:drawing>
          <wp:inline distT="0" distB="0" distL="0" distR="0" wp14:anchorId="4BB9E006" wp14:editId="7DEA68B6">
            <wp:extent cx="5112000" cy="22680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13BC" w:rsidRPr="00882E09" w:rsidRDefault="00DB6CF6" w:rsidP="00642D53">
      <w:pPr>
        <w:pStyle w:val="Nagwek1"/>
        <w:spacing w:after="120" w:line="240" w:lineRule="exact"/>
        <w:rPr>
          <w:rFonts w:ascii="Fira Sans" w:hAnsi="Fira Sans"/>
          <w:color w:val="auto"/>
          <w:sz w:val="18"/>
          <w:szCs w:val="18"/>
        </w:rPr>
      </w:pPr>
      <w:r w:rsidRPr="00882E09">
        <w:rPr>
          <w:rFonts w:ascii="Fira Sans" w:hAnsi="Fira Sans"/>
          <w:b/>
          <w:bCs/>
          <w:color w:val="auto"/>
          <w:sz w:val="18"/>
          <w:szCs w:val="18"/>
        </w:rPr>
        <w:lastRenderedPageBreak/>
        <w:t xml:space="preserve">Wykres </w:t>
      </w:r>
      <w:r w:rsidRPr="00882E09">
        <w:rPr>
          <w:rFonts w:ascii="Fira Sans" w:hAnsi="Fira Sans"/>
          <w:b/>
          <w:color w:val="auto"/>
          <w:sz w:val="18"/>
          <w:szCs w:val="18"/>
        </w:rPr>
        <w:t xml:space="preserve">2. </w:t>
      </w:r>
      <w:r w:rsidR="00320D98" w:rsidRPr="00882E09">
        <w:rPr>
          <w:rFonts w:ascii="Fira Sans" w:hAnsi="Fira Sans"/>
          <w:b/>
          <w:color w:val="auto"/>
          <w:sz w:val="18"/>
          <w:szCs w:val="18"/>
        </w:rPr>
        <w:t>Pozyskanie energii ze źródeł odnawialnych w Polsce wg nośników w 201</w:t>
      </w:r>
      <w:r w:rsidR="00E507B7" w:rsidRPr="00882E09">
        <w:rPr>
          <w:rFonts w:ascii="Fira Sans" w:hAnsi="Fira Sans"/>
          <w:b/>
          <w:color w:val="auto"/>
          <w:sz w:val="18"/>
          <w:szCs w:val="18"/>
        </w:rPr>
        <w:t>8</w:t>
      </w:r>
      <w:r w:rsidR="00320D98" w:rsidRPr="00882E09">
        <w:rPr>
          <w:rFonts w:ascii="Fira Sans" w:hAnsi="Fira Sans"/>
          <w:b/>
          <w:color w:val="auto"/>
          <w:sz w:val="18"/>
          <w:szCs w:val="18"/>
        </w:rPr>
        <w:t xml:space="preserve"> r.</w:t>
      </w:r>
    </w:p>
    <w:p w:rsidR="00900398" w:rsidRPr="00882E09" w:rsidRDefault="00560824" w:rsidP="00E06DEC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noProof/>
          <w:lang w:eastAsia="pl-PL"/>
        </w:rPr>
        <w:drawing>
          <wp:inline distT="0" distB="0" distL="0" distR="0" wp14:anchorId="19896850" wp14:editId="7368CB03">
            <wp:extent cx="5112000" cy="2268000"/>
            <wp:effectExtent l="0" t="0" r="0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31EE" w:rsidRPr="00882E09" w:rsidRDefault="007031EE" w:rsidP="00E06DEC">
      <w:pPr>
        <w:spacing w:after="120" w:line="240" w:lineRule="auto"/>
        <w:rPr>
          <w:rFonts w:ascii="Fira Sans" w:hAnsi="Fira Sans"/>
          <w:sz w:val="19"/>
          <w:szCs w:val="19"/>
        </w:rPr>
      </w:pPr>
    </w:p>
    <w:p w:rsidR="00FF0439" w:rsidRPr="00882E09" w:rsidRDefault="00FF0439" w:rsidP="002F5393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>Końcowe zużycie energii brutto ze źródeł odnawialnych w latach 2014–2018 zwiększyło się nieznacznie w ciągu ostatnich lat i wzrosło z 309 100 TJ w 2014</w:t>
      </w:r>
      <w:r w:rsidR="0070653C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>r. do 349 793 TJ w 2018</w:t>
      </w:r>
      <w:r w:rsidR="0070653C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>r.</w:t>
      </w:r>
    </w:p>
    <w:p w:rsidR="00FF0439" w:rsidRPr="00E9699E" w:rsidRDefault="0005158E" w:rsidP="00E9699E">
      <w:pPr>
        <w:pStyle w:val="Nagwek1"/>
        <w:rPr>
          <w:rFonts w:ascii="Fira Sans" w:hAnsi="Fira Sans"/>
          <w:b/>
          <w:color w:val="auto"/>
          <w:sz w:val="18"/>
          <w:szCs w:val="18"/>
        </w:rPr>
      </w:pPr>
      <w:r w:rsidRPr="00E9699E">
        <w:rPr>
          <w:noProof/>
          <w:color w:val="auto"/>
          <w:lang w:eastAsia="pl-P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431800</wp:posOffset>
            </wp:positionV>
            <wp:extent cx="5112000" cy="1908000"/>
            <wp:effectExtent l="0" t="0" r="0" b="0"/>
            <wp:wrapTight wrapText="bothSides">
              <wp:wrapPolygon edited="0">
                <wp:start x="0" y="0"/>
                <wp:lineTo x="0" y="21356"/>
                <wp:lineTo x="21493" y="21356"/>
                <wp:lineTo x="21493" y="0"/>
                <wp:lineTo x="0" y="0"/>
              </wp:wrapPolygon>
            </wp:wrapTight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FF0439" w:rsidRPr="00E9699E">
        <w:rPr>
          <w:rFonts w:ascii="Fira Sans" w:hAnsi="Fira Sans"/>
          <w:b/>
          <w:color w:val="auto"/>
          <w:sz w:val="18"/>
          <w:szCs w:val="18"/>
        </w:rPr>
        <w:t>Wykres 3 Końcowe zużycie energii brutto ze źródeł odnawialnych w latach 2014–2018</w:t>
      </w:r>
    </w:p>
    <w:p w:rsidR="003A3897" w:rsidRPr="00882E09" w:rsidRDefault="003A3897" w:rsidP="0005158E">
      <w:pPr>
        <w:spacing w:before="240" w:after="120" w:line="240" w:lineRule="exact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>Struktura zużycia energii ze źródeł odnawialnych charakteryzuje się stosunkowo dużym udziałem (</w:t>
      </w:r>
      <w:r w:rsidR="006E7F0B" w:rsidRPr="00882E09">
        <w:rPr>
          <w:rFonts w:ascii="Fira Sans" w:hAnsi="Fira Sans"/>
          <w:sz w:val="19"/>
          <w:szCs w:val="19"/>
        </w:rPr>
        <w:t>57</w:t>
      </w:r>
      <w:r w:rsidRPr="00882E09">
        <w:rPr>
          <w:rFonts w:ascii="Fira Sans" w:hAnsi="Fira Sans"/>
          <w:sz w:val="19"/>
          <w:szCs w:val="19"/>
        </w:rPr>
        <w:t>%)</w:t>
      </w:r>
      <w:r w:rsidR="003808F3" w:rsidRPr="00882E09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>odbiorców końcowych oraz mniejszym (</w:t>
      </w:r>
      <w:r w:rsidR="006E7F0B" w:rsidRPr="00882E09">
        <w:rPr>
          <w:rFonts w:ascii="Fira Sans" w:hAnsi="Fira Sans"/>
          <w:sz w:val="19"/>
          <w:szCs w:val="19"/>
        </w:rPr>
        <w:t>42</w:t>
      </w:r>
      <w:r w:rsidRPr="00882E09">
        <w:rPr>
          <w:rFonts w:ascii="Fira Sans" w:hAnsi="Fira Sans"/>
          <w:sz w:val="19"/>
          <w:szCs w:val="19"/>
        </w:rPr>
        <w:t>%)</w:t>
      </w:r>
      <w:r w:rsidR="003808F3" w:rsidRPr="00882E09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>jej wykorzystaniem na wsad przemian energetycznych, zużycie własne sektora energii jest śladowe.</w:t>
      </w:r>
      <w:r w:rsidR="003808F3" w:rsidRPr="00882E09">
        <w:rPr>
          <w:rFonts w:ascii="Fira Sans" w:hAnsi="Fira Sans"/>
          <w:sz w:val="19"/>
          <w:szCs w:val="19"/>
        </w:rPr>
        <w:t xml:space="preserve"> Powyższe proporcje świadczą o tym, że nośniki energii ze źródeł odnawialnych są rzadziej wykorzystywane przez instalacje przemysłowe (komercyjne), gdzie w wyniku przemian energetycznych wytwarzane są pochodne nośniki energii (przede wszystkim energia elektryczna i ciepło) dostarczane następnie do odbiorców.</w:t>
      </w:r>
    </w:p>
    <w:p w:rsidR="00650B09" w:rsidRPr="00882E09" w:rsidRDefault="00F669AA" w:rsidP="00650B09">
      <w:pPr>
        <w:spacing w:before="120" w:after="120" w:line="240" w:lineRule="exact"/>
        <w:rPr>
          <w:rFonts w:ascii="Fira Sans SemiBold" w:hAnsi="Fira Sans SemiBold"/>
          <w:color w:val="001D77"/>
          <w:sz w:val="19"/>
          <w:szCs w:val="19"/>
        </w:rPr>
      </w:pPr>
      <w:r w:rsidRPr="00882E09">
        <w:rPr>
          <w:rFonts w:ascii="Fira Sans SemiBold" w:hAnsi="Fira Sans SemiBold"/>
          <w:color w:val="001D77"/>
          <w:sz w:val="19"/>
          <w:szCs w:val="19"/>
        </w:rPr>
        <w:t>Całkowity i sektorowy udział</w:t>
      </w:r>
      <w:r w:rsidR="00FA24DA" w:rsidRPr="00882E09">
        <w:rPr>
          <w:rFonts w:ascii="Fira Sans SemiBold" w:hAnsi="Fira Sans SemiBold"/>
          <w:color w:val="001D77"/>
          <w:sz w:val="19"/>
          <w:szCs w:val="19"/>
        </w:rPr>
        <w:t xml:space="preserve"> energii ze źródeł odnawia</w:t>
      </w:r>
      <w:r w:rsidR="00FA41A1" w:rsidRPr="00882E09">
        <w:rPr>
          <w:rFonts w:ascii="Fira Sans SemiBold" w:hAnsi="Fira Sans SemiBold"/>
          <w:color w:val="001D77"/>
          <w:sz w:val="19"/>
          <w:szCs w:val="19"/>
        </w:rPr>
        <w:t>l</w:t>
      </w:r>
      <w:r w:rsidR="00FA24DA" w:rsidRPr="00882E09">
        <w:rPr>
          <w:rFonts w:ascii="Fira Sans SemiBold" w:hAnsi="Fira Sans SemiBold"/>
          <w:color w:val="001D77"/>
          <w:sz w:val="19"/>
          <w:szCs w:val="19"/>
        </w:rPr>
        <w:t xml:space="preserve">nych w </w:t>
      </w:r>
      <w:r w:rsidR="00725B71" w:rsidRPr="00882E09">
        <w:rPr>
          <w:rFonts w:ascii="Fira Sans SemiBold" w:hAnsi="Fira Sans SemiBold"/>
          <w:color w:val="001D77"/>
          <w:sz w:val="19"/>
          <w:szCs w:val="19"/>
        </w:rPr>
        <w:t xml:space="preserve">latach </w:t>
      </w:r>
      <w:r w:rsidR="00AC372D" w:rsidRPr="00882E09">
        <w:rPr>
          <w:rFonts w:ascii="Fira Sans SemiBold" w:hAnsi="Fira Sans SemiBold"/>
          <w:color w:val="001D77"/>
          <w:sz w:val="19"/>
          <w:szCs w:val="19"/>
        </w:rPr>
        <w:t>2014</w:t>
      </w:r>
      <w:r w:rsidR="0070653C">
        <w:rPr>
          <w:rFonts w:ascii="Fira Sans SemiBold" w:hAnsi="Fira Sans SemiBold"/>
          <w:color w:val="001D77"/>
          <w:sz w:val="19"/>
          <w:szCs w:val="19"/>
        </w:rPr>
        <w:t>–</w:t>
      </w:r>
      <w:r w:rsidR="00725B71" w:rsidRPr="00882E09">
        <w:rPr>
          <w:rFonts w:ascii="Fira Sans SemiBold" w:hAnsi="Fira Sans SemiBold"/>
          <w:color w:val="001D77"/>
          <w:sz w:val="19"/>
          <w:szCs w:val="19"/>
        </w:rPr>
        <w:t>201</w:t>
      </w:r>
      <w:r w:rsidR="0034546A" w:rsidRPr="00882E09">
        <w:rPr>
          <w:rFonts w:ascii="Fira Sans SemiBold" w:hAnsi="Fira Sans SemiBold"/>
          <w:color w:val="001D77"/>
          <w:sz w:val="19"/>
          <w:szCs w:val="19"/>
        </w:rPr>
        <w:t>8</w:t>
      </w:r>
    </w:p>
    <w:p w:rsidR="00650B09" w:rsidRPr="00882E09" w:rsidRDefault="00AC620A" w:rsidP="00650B09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882E09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AF8142D" wp14:editId="0A2AD872">
                <wp:simplePos x="0" y="0"/>
                <wp:positionH relativeFrom="column">
                  <wp:posOffset>5313045</wp:posOffset>
                </wp:positionH>
                <wp:positionV relativeFrom="paragraph">
                  <wp:posOffset>1324940</wp:posOffset>
                </wp:positionV>
                <wp:extent cx="1753870" cy="950595"/>
                <wp:effectExtent l="0" t="0" r="0" b="1905"/>
                <wp:wrapTight wrapText="bothSides">
                  <wp:wrapPolygon edited="0">
                    <wp:start x="704" y="0"/>
                    <wp:lineTo x="704" y="21210"/>
                    <wp:lineTo x="20881" y="21210"/>
                    <wp:lineTo x="20881" y="0"/>
                    <wp:lineTo x="704" y="0"/>
                  </wp:wrapPolygon>
                </wp:wrapTight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4DA" w:rsidRPr="00C275DE" w:rsidRDefault="00BD63EC" w:rsidP="002F5393">
                            <w:pPr>
                              <w:pStyle w:val="tekstzboku"/>
                            </w:pPr>
                            <w:r>
                              <w:t xml:space="preserve">Zużycie energii ze źródeł odnawialnych wzrosło o </w:t>
                            </w:r>
                            <w:r w:rsidR="00491479">
                              <w:t>3,48</w:t>
                            </w:r>
                            <w:r>
                              <w:t xml:space="preserve">%, przy wzroście końcowego zużycia energii brutto o </w:t>
                            </w:r>
                            <w:r w:rsidR="00AA071A">
                              <w:t>1,13%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8142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18.35pt;margin-top:104.35pt;width:138.1pt;height:74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" filled="f" stroked="f">
                <v:textbox>
                  <w:txbxContent>
                    <w:p w:rsidR="00FA24DA" w:rsidRPr="00C275DE" w:rsidRDefault="00BD63EC" w:rsidP="002F5393">
                      <w:pPr>
                        <w:pStyle w:val="tekstzboku"/>
                      </w:pPr>
                      <w:r>
                        <w:t xml:space="preserve">Zużycie energii ze źródeł odnawialnych wzrosło o </w:t>
                      </w:r>
                      <w:r w:rsidR="00491479">
                        <w:t>3,48</w:t>
                      </w:r>
                      <w:r>
                        <w:t xml:space="preserve">%, przy wzroście końcowego zużycia energii brutto o </w:t>
                      </w:r>
                      <w:r w:rsidR="00AA071A">
                        <w:t>1,13%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0B09" w:rsidRPr="00882E09">
        <w:rPr>
          <w:rFonts w:ascii="Fira Sans" w:hAnsi="Fira Sans"/>
          <w:sz w:val="19"/>
          <w:szCs w:val="19"/>
        </w:rPr>
        <w:t xml:space="preserve">Zgodnie z dyrektywą Parlamentu Europejskiego i Rady 2009/28/WE </w:t>
      </w:r>
      <w:r w:rsidR="00650B09" w:rsidRPr="00882E09">
        <w:rPr>
          <w:rFonts w:ascii="Fira Sans" w:hAnsi="Fira Sans"/>
          <w:bCs/>
          <w:sz w:val="19"/>
          <w:szCs w:val="19"/>
        </w:rPr>
        <w:t xml:space="preserve">z dnia 23 kwietnia 2009 r. </w:t>
      </w:r>
      <w:r w:rsidR="00650B09" w:rsidRPr="00882E09">
        <w:rPr>
          <w:rFonts w:ascii="Fira Sans" w:hAnsi="Fira Sans"/>
          <w:sz w:val="19"/>
          <w:szCs w:val="19"/>
        </w:rPr>
        <w:t>w sprawie promowania stosowania energii ze źródeł odnawialnych państwa członkowskie są zobowiązane do zapewnienia określonego udziału energii ze źródeł odnawialnych w końcowym zużyciu energii brutto w 2020 r. Obowiązkowe krajowe cele ogólne składają się na założony 20% udział energii ze źródeł odnawialnych w końcowym zużyciu energii brutto we Wspólnocie. Dla Polski cel ten został ustalony na poziomie 15%. Ponadto, każde państwo członkowskie powinno zapewnić, aby w 2020 r. udział energii ze źródeł odnawialnych we wszystkich rodzajach transportu wynosił co najmniej 10% końcowego zużycia energii w transporcie.</w:t>
      </w:r>
    </w:p>
    <w:p w:rsidR="00C72A2D" w:rsidRPr="008F13F1" w:rsidRDefault="00C72A2D" w:rsidP="00650B09">
      <w:pPr>
        <w:spacing w:before="120" w:after="120" w:line="240" w:lineRule="exact"/>
        <w:rPr>
          <w:rFonts w:ascii="Fira Sans" w:hAnsi="Fira Sans"/>
          <w:sz w:val="19"/>
          <w:szCs w:val="19"/>
        </w:rPr>
      </w:pPr>
      <w:r w:rsidRPr="008F13F1">
        <w:rPr>
          <w:rFonts w:ascii="Fira Sans" w:hAnsi="Fira Sans"/>
          <w:sz w:val="19"/>
          <w:szCs w:val="19"/>
        </w:rPr>
        <w:t xml:space="preserve">Wskaźnik udziału energii z odnawialnych źródeł energii w końcowym zużyciu energii brutto obliczany jako iloraz wartości końcowego zużycia </w:t>
      </w:r>
      <w:r w:rsidR="00DD5613" w:rsidRPr="008F13F1">
        <w:rPr>
          <w:rFonts w:ascii="Fira Sans" w:hAnsi="Fira Sans"/>
          <w:sz w:val="19"/>
          <w:szCs w:val="19"/>
        </w:rPr>
        <w:t xml:space="preserve">energii </w:t>
      </w:r>
      <w:r w:rsidRPr="008F13F1">
        <w:rPr>
          <w:rFonts w:ascii="Fira Sans" w:hAnsi="Fira Sans"/>
          <w:sz w:val="19"/>
          <w:szCs w:val="19"/>
        </w:rPr>
        <w:t xml:space="preserve">brutto ze źródeł odnawialnych oraz wartości końcowego zużycia energii </w:t>
      </w:r>
      <w:r w:rsidR="00DD5613" w:rsidRPr="008F13F1">
        <w:rPr>
          <w:rFonts w:ascii="Fira Sans" w:hAnsi="Fira Sans"/>
          <w:sz w:val="19"/>
          <w:szCs w:val="19"/>
        </w:rPr>
        <w:t xml:space="preserve">brutto </w:t>
      </w:r>
      <w:r w:rsidRPr="008F13F1">
        <w:rPr>
          <w:rFonts w:ascii="Fira Sans" w:hAnsi="Fira Sans"/>
          <w:sz w:val="19"/>
          <w:szCs w:val="19"/>
        </w:rPr>
        <w:t>ze wszystkich źródeł i wyrażony w %, wzrósł o 0,26 p. proc. w stosunku do 2017</w:t>
      </w:r>
      <w:r w:rsidR="0070653C">
        <w:rPr>
          <w:rFonts w:ascii="Fira Sans" w:hAnsi="Fira Sans"/>
          <w:sz w:val="19"/>
          <w:szCs w:val="19"/>
        </w:rPr>
        <w:t xml:space="preserve"> </w:t>
      </w:r>
      <w:r w:rsidRPr="008F13F1">
        <w:rPr>
          <w:rFonts w:ascii="Fira Sans" w:hAnsi="Fira Sans"/>
          <w:sz w:val="19"/>
          <w:szCs w:val="19"/>
        </w:rPr>
        <w:t>r. G</w:t>
      </w:r>
      <w:r w:rsidR="00DF7C78" w:rsidRPr="008F13F1">
        <w:rPr>
          <w:rFonts w:ascii="Fira Sans" w:hAnsi="Fira Sans"/>
          <w:sz w:val="19"/>
          <w:szCs w:val="19"/>
        </w:rPr>
        <w:t>łó</w:t>
      </w:r>
      <w:r w:rsidR="005960E3" w:rsidRPr="008F13F1">
        <w:rPr>
          <w:rFonts w:ascii="Fira Sans" w:hAnsi="Fira Sans"/>
          <w:sz w:val="19"/>
          <w:szCs w:val="19"/>
        </w:rPr>
        <w:t>wnymi</w:t>
      </w:r>
      <w:r w:rsidRPr="008F13F1">
        <w:rPr>
          <w:rFonts w:ascii="Fira Sans" w:hAnsi="Fira Sans"/>
          <w:sz w:val="19"/>
          <w:szCs w:val="19"/>
        </w:rPr>
        <w:t xml:space="preserve"> </w:t>
      </w:r>
      <w:r w:rsidR="005960E3" w:rsidRPr="008F13F1">
        <w:rPr>
          <w:rFonts w:ascii="Fira Sans" w:hAnsi="Fira Sans"/>
          <w:sz w:val="19"/>
          <w:szCs w:val="19"/>
        </w:rPr>
        <w:t>czynnikami, które wpłynęły na nieznaczny</w:t>
      </w:r>
      <w:r w:rsidRPr="008F13F1">
        <w:rPr>
          <w:rFonts w:ascii="Fira Sans" w:hAnsi="Fira Sans"/>
          <w:sz w:val="19"/>
          <w:szCs w:val="19"/>
        </w:rPr>
        <w:t xml:space="preserve"> </w:t>
      </w:r>
      <w:r w:rsidR="005960E3" w:rsidRPr="008F13F1">
        <w:rPr>
          <w:rFonts w:ascii="Fira Sans" w:hAnsi="Fira Sans"/>
          <w:sz w:val="19"/>
          <w:szCs w:val="19"/>
        </w:rPr>
        <w:t>wzrost</w:t>
      </w:r>
      <w:r w:rsidRPr="008F13F1">
        <w:rPr>
          <w:rFonts w:ascii="Fira Sans" w:hAnsi="Fira Sans"/>
          <w:sz w:val="19"/>
          <w:szCs w:val="19"/>
        </w:rPr>
        <w:t xml:space="preserve"> tego udziału był wzrost ko</w:t>
      </w:r>
      <w:r w:rsidR="005960E3" w:rsidRPr="008F13F1">
        <w:rPr>
          <w:rFonts w:ascii="Fira Sans" w:hAnsi="Fira Sans"/>
          <w:sz w:val="19"/>
          <w:szCs w:val="19"/>
        </w:rPr>
        <w:t xml:space="preserve">ńcowego zużycia energii brutto </w:t>
      </w:r>
      <w:r w:rsidRPr="008F13F1">
        <w:rPr>
          <w:rFonts w:ascii="Fira Sans" w:hAnsi="Fira Sans"/>
          <w:sz w:val="19"/>
          <w:szCs w:val="19"/>
        </w:rPr>
        <w:t xml:space="preserve">o </w:t>
      </w:r>
      <w:r w:rsidR="00DD5613" w:rsidRPr="008F13F1">
        <w:rPr>
          <w:rFonts w:ascii="Fira Sans" w:hAnsi="Fira Sans"/>
          <w:sz w:val="19"/>
          <w:szCs w:val="19"/>
        </w:rPr>
        <w:t>1,13%</w:t>
      </w:r>
      <w:r w:rsidR="005960E3" w:rsidRPr="008F13F1">
        <w:rPr>
          <w:rFonts w:ascii="Fira Sans" w:hAnsi="Fira Sans"/>
          <w:sz w:val="19"/>
          <w:szCs w:val="19"/>
        </w:rPr>
        <w:t>, a zużycia</w:t>
      </w:r>
      <w:r w:rsidR="00DF7C78" w:rsidRPr="008F13F1">
        <w:rPr>
          <w:rFonts w:ascii="Fira Sans" w:hAnsi="Fira Sans"/>
          <w:sz w:val="19"/>
          <w:szCs w:val="19"/>
        </w:rPr>
        <w:t xml:space="preserve"> energii ze źródeł odnawialnych </w:t>
      </w:r>
      <w:r w:rsidR="005960E3" w:rsidRPr="008F13F1">
        <w:rPr>
          <w:rFonts w:ascii="Fira Sans" w:hAnsi="Fira Sans"/>
          <w:sz w:val="19"/>
          <w:szCs w:val="19"/>
        </w:rPr>
        <w:t xml:space="preserve">o </w:t>
      </w:r>
      <w:r w:rsidR="00DD5613" w:rsidRPr="008F13F1">
        <w:rPr>
          <w:rFonts w:ascii="Fira Sans" w:hAnsi="Fira Sans"/>
          <w:sz w:val="19"/>
          <w:szCs w:val="19"/>
        </w:rPr>
        <w:t>3,48</w:t>
      </w:r>
      <w:r w:rsidR="005960E3" w:rsidRPr="008F13F1">
        <w:rPr>
          <w:rFonts w:ascii="Fira Sans" w:hAnsi="Fira Sans"/>
          <w:sz w:val="19"/>
          <w:szCs w:val="19"/>
        </w:rPr>
        <w:t>%</w:t>
      </w:r>
      <w:r w:rsidR="00DF7C78" w:rsidRPr="008F13F1">
        <w:rPr>
          <w:rFonts w:ascii="Fira Sans" w:hAnsi="Fira Sans"/>
          <w:sz w:val="19"/>
          <w:szCs w:val="19"/>
        </w:rPr>
        <w:t>.</w:t>
      </w:r>
    </w:p>
    <w:p w:rsidR="00360C41" w:rsidRPr="00882E09" w:rsidRDefault="00360C41" w:rsidP="00642D53">
      <w:pPr>
        <w:pStyle w:val="LID"/>
        <w:spacing w:before="240" w:line="240" w:lineRule="auto"/>
        <w:outlineLvl w:val="0"/>
      </w:pPr>
      <w:r w:rsidRPr="00882E09">
        <w:rPr>
          <w:bCs/>
          <w:sz w:val="18"/>
          <w:szCs w:val="18"/>
        </w:rPr>
        <w:lastRenderedPageBreak/>
        <w:t xml:space="preserve">Wykres </w:t>
      </w:r>
      <w:r w:rsidR="00B03389" w:rsidRPr="00882E09">
        <w:rPr>
          <w:bCs/>
          <w:sz w:val="18"/>
          <w:szCs w:val="18"/>
        </w:rPr>
        <w:t>4</w:t>
      </w:r>
      <w:r w:rsidRPr="00882E09">
        <w:rPr>
          <w:bCs/>
          <w:sz w:val="18"/>
          <w:szCs w:val="18"/>
        </w:rPr>
        <w:t>. Udział energii ze źródeł odnawialnych w końcowym zużyciu energii brutto</w:t>
      </w:r>
    </w:p>
    <w:p w:rsidR="00AD15BA" w:rsidRPr="00882E09" w:rsidRDefault="004269BE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noProof/>
          <w:lang w:eastAsia="pl-PL"/>
        </w:rPr>
        <w:drawing>
          <wp:inline distT="0" distB="0" distL="0" distR="0" wp14:anchorId="7ACB611B" wp14:editId="28D84884">
            <wp:extent cx="5112000" cy="2304000"/>
            <wp:effectExtent l="0" t="0" r="0" b="127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5380" w:rsidRPr="00882E09" w:rsidRDefault="00966699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>W przypadku poszczególnych sektorów wyniki prezentowały się następująco:</w:t>
      </w:r>
    </w:p>
    <w:p w:rsidR="00360C41" w:rsidRPr="00882E09" w:rsidRDefault="00360C41" w:rsidP="00642D53">
      <w:pPr>
        <w:pStyle w:val="LID"/>
        <w:spacing w:before="240" w:line="240" w:lineRule="auto"/>
        <w:outlineLvl w:val="0"/>
        <w:rPr>
          <w:sz w:val="18"/>
          <w:szCs w:val="18"/>
        </w:rPr>
      </w:pPr>
      <w:r w:rsidRPr="00882E09">
        <w:rPr>
          <w:bCs/>
          <w:sz w:val="18"/>
          <w:szCs w:val="18"/>
        </w:rPr>
        <w:t xml:space="preserve">Wykres </w:t>
      </w:r>
      <w:r w:rsidR="00C87A96" w:rsidRPr="00882E09">
        <w:rPr>
          <w:bCs/>
          <w:sz w:val="18"/>
          <w:szCs w:val="18"/>
        </w:rPr>
        <w:t>5</w:t>
      </w:r>
      <w:r w:rsidRPr="00882E09">
        <w:rPr>
          <w:sz w:val="18"/>
          <w:szCs w:val="18"/>
        </w:rPr>
        <w:t xml:space="preserve">. Udział energii elektrycznej ze źródeł odnawialnych w końcowym zużyciu energii brutto </w:t>
      </w:r>
      <w:r w:rsidR="00504E25">
        <w:rPr>
          <w:sz w:val="18"/>
          <w:szCs w:val="18"/>
        </w:rPr>
        <w:br/>
        <w:t xml:space="preserve">                   </w:t>
      </w:r>
      <w:r w:rsidRPr="00882E09">
        <w:rPr>
          <w:sz w:val="18"/>
          <w:szCs w:val="18"/>
        </w:rPr>
        <w:t>w elektroenergetyce</w:t>
      </w:r>
    </w:p>
    <w:p w:rsidR="001E03DF" w:rsidRPr="00882E09" w:rsidRDefault="001E03DF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>Udział energii ze źródeł odnawialnych w końcowym zużyciu energii brutto w el</w:t>
      </w:r>
      <w:r w:rsidR="00B04160">
        <w:rPr>
          <w:rFonts w:ascii="Fira Sans" w:hAnsi="Fira Sans"/>
          <w:sz w:val="19"/>
          <w:szCs w:val="19"/>
        </w:rPr>
        <w:t>ektroenergetyce</w:t>
      </w:r>
      <w:r w:rsidR="004E2883" w:rsidRPr="00882E09">
        <w:rPr>
          <w:rFonts w:ascii="Fira Sans" w:hAnsi="Fira Sans"/>
          <w:sz w:val="19"/>
          <w:szCs w:val="19"/>
        </w:rPr>
        <w:t xml:space="preserve"> spadek o 0,06 p. proc. </w:t>
      </w:r>
      <w:r w:rsidRPr="00882E09">
        <w:rPr>
          <w:rFonts w:ascii="Fira Sans" w:hAnsi="Fira Sans"/>
          <w:sz w:val="19"/>
          <w:szCs w:val="19"/>
        </w:rPr>
        <w:t xml:space="preserve"> w stosunku do 2017</w:t>
      </w:r>
      <w:r w:rsidR="00B04160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>r.</w:t>
      </w:r>
      <w:r w:rsidR="004E2883" w:rsidRPr="00882E09">
        <w:rPr>
          <w:rFonts w:ascii="Fira Sans" w:hAnsi="Fira Sans"/>
          <w:sz w:val="19"/>
          <w:szCs w:val="19"/>
        </w:rPr>
        <w:t>,</w:t>
      </w:r>
      <w:r w:rsidRPr="00882E09">
        <w:rPr>
          <w:rFonts w:ascii="Fira Sans" w:hAnsi="Fira Sans"/>
          <w:sz w:val="19"/>
          <w:szCs w:val="19"/>
        </w:rPr>
        <w:t xml:space="preserve"> wynikający ze wzrostu zużycia energii odnawialnej o </w:t>
      </w:r>
      <w:r w:rsidR="00367412" w:rsidRPr="00882E09">
        <w:rPr>
          <w:rFonts w:ascii="Fira Sans" w:hAnsi="Fira Sans"/>
          <w:sz w:val="19"/>
          <w:szCs w:val="19"/>
        </w:rPr>
        <w:t>1,28</w:t>
      </w:r>
      <w:r w:rsidRPr="00882E09">
        <w:rPr>
          <w:rFonts w:ascii="Fira Sans" w:hAnsi="Fira Sans"/>
          <w:sz w:val="19"/>
          <w:szCs w:val="19"/>
        </w:rPr>
        <w:t xml:space="preserve">% przy wzroście zużycia energii elektrycznej (o </w:t>
      </w:r>
      <w:r w:rsidR="00367412" w:rsidRPr="00882E09">
        <w:rPr>
          <w:rFonts w:ascii="Fira Sans" w:hAnsi="Fira Sans"/>
          <w:sz w:val="19"/>
          <w:szCs w:val="19"/>
        </w:rPr>
        <w:t>1,76</w:t>
      </w:r>
      <w:r w:rsidRPr="00882E09">
        <w:rPr>
          <w:rFonts w:ascii="Fira Sans" w:hAnsi="Fira Sans"/>
          <w:sz w:val="19"/>
          <w:szCs w:val="19"/>
        </w:rPr>
        <w:t>%).</w:t>
      </w:r>
    </w:p>
    <w:p w:rsidR="00AB4C33" w:rsidRPr="00882E09" w:rsidRDefault="00EE66B0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noProof/>
          <w:lang w:eastAsia="pl-PL"/>
        </w:rPr>
        <w:drawing>
          <wp:inline distT="0" distB="0" distL="0" distR="0" wp14:anchorId="00979A6B" wp14:editId="5D419415">
            <wp:extent cx="5112000" cy="2268000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5E5D" w:rsidRPr="00882E09" w:rsidRDefault="001E03DF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 xml:space="preserve">Udział energii ze źródeł odnawialnych w końcowym zużyciu energii brutto </w:t>
      </w:r>
      <w:r w:rsidR="00B04160">
        <w:rPr>
          <w:rFonts w:ascii="Fira Sans" w:hAnsi="Fira Sans"/>
          <w:sz w:val="19"/>
          <w:szCs w:val="19"/>
        </w:rPr>
        <w:t>w ciepłownictwie i chłodnictwie</w:t>
      </w:r>
      <w:r w:rsidR="008C7398" w:rsidRPr="00882E09">
        <w:rPr>
          <w:rFonts w:ascii="Fira Sans" w:hAnsi="Fira Sans"/>
          <w:sz w:val="19"/>
          <w:szCs w:val="19"/>
        </w:rPr>
        <w:t xml:space="preserve"> wzrost o 0,0</w:t>
      </w:r>
      <w:r w:rsidR="000328CE" w:rsidRPr="00882E09">
        <w:rPr>
          <w:rFonts w:ascii="Fira Sans" w:hAnsi="Fira Sans"/>
          <w:sz w:val="19"/>
          <w:szCs w:val="19"/>
        </w:rPr>
        <w:t>8</w:t>
      </w:r>
      <w:r w:rsidRPr="00882E09">
        <w:rPr>
          <w:rFonts w:ascii="Fira Sans" w:hAnsi="Fira Sans"/>
          <w:sz w:val="19"/>
          <w:szCs w:val="19"/>
        </w:rPr>
        <w:t xml:space="preserve"> p. proc. w stosunku do 2017</w:t>
      </w:r>
      <w:r w:rsidR="00B04160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>r.</w:t>
      </w:r>
      <w:r w:rsidR="00490512" w:rsidRPr="00882E09">
        <w:rPr>
          <w:rFonts w:ascii="Fira Sans" w:hAnsi="Fira Sans"/>
          <w:sz w:val="19"/>
          <w:szCs w:val="19"/>
        </w:rPr>
        <w:t>,</w:t>
      </w:r>
      <w:r w:rsidRPr="00882E09">
        <w:rPr>
          <w:rFonts w:ascii="Fira Sans" w:hAnsi="Fira Sans"/>
          <w:sz w:val="19"/>
          <w:szCs w:val="19"/>
        </w:rPr>
        <w:t xml:space="preserve"> wynikający ze </w:t>
      </w:r>
      <w:r w:rsidR="000328CE" w:rsidRPr="00882E09">
        <w:rPr>
          <w:rFonts w:ascii="Fira Sans" w:hAnsi="Fira Sans"/>
          <w:sz w:val="19"/>
          <w:szCs w:val="19"/>
        </w:rPr>
        <w:t>zmniejszenia</w:t>
      </w:r>
      <w:r w:rsidRPr="00882E09">
        <w:rPr>
          <w:rFonts w:ascii="Fira Sans" w:hAnsi="Fira Sans"/>
          <w:sz w:val="19"/>
          <w:szCs w:val="19"/>
        </w:rPr>
        <w:t xml:space="preserve"> zużycia energii odnawialnej o </w:t>
      </w:r>
      <w:r w:rsidR="000328CE" w:rsidRPr="00882E09">
        <w:rPr>
          <w:rFonts w:ascii="Fira Sans" w:hAnsi="Fira Sans"/>
          <w:sz w:val="19"/>
          <w:szCs w:val="19"/>
        </w:rPr>
        <w:t>0,92</w:t>
      </w:r>
      <w:r w:rsidRPr="00882E09">
        <w:rPr>
          <w:rFonts w:ascii="Fira Sans" w:hAnsi="Fira Sans"/>
          <w:sz w:val="19"/>
          <w:szCs w:val="19"/>
        </w:rPr>
        <w:t xml:space="preserve">% i </w:t>
      </w:r>
      <w:r w:rsidR="000328CE" w:rsidRPr="00882E09">
        <w:rPr>
          <w:rFonts w:ascii="Fira Sans" w:hAnsi="Fira Sans"/>
          <w:sz w:val="19"/>
          <w:szCs w:val="19"/>
        </w:rPr>
        <w:t>zmniejszenia</w:t>
      </w:r>
      <w:r w:rsidRPr="00882E09">
        <w:rPr>
          <w:rFonts w:ascii="Fira Sans" w:hAnsi="Fira Sans"/>
          <w:sz w:val="19"/>
          <w:szCs w:val="19"/>
        </w:rPr>
        <w:t xml:space="preserve"> </w:t>
      </w:r>
      <w:r w:rsidR="000328CE" w:rsidRPr="00882E09">
        <w:rPr>
          <w:rFonts w:ascii="Fira Sans" w:hAnsi="Fira Sans"/>
          <w:sz w:val="19"/>
          <w:szCs w:val="19"/>
        </w:rPr>
        <w:t xml:space="preserve">ogólnego </w:t>
      </w:r>
      <w:r w:rsidRPr="00882E09">
        <w:rPr>
          <w:rFonts w:ascii="Fira Sans" w:hAnsi="Fira Sans"/>
          <w:sz w:val="19"/>
          <w:szCs w:val="19"/>
        </w:rPr>
        <w:t xml:space="preserve">zużycia </w:t>
      </w:r>
      <w:r w:rsidR="000328CE" w:rsidRPr="00882E09">
        <w:rPr>
          <w:rFonts w:ascii="Fira Sans" w:hAnsi="Fira Sans"/>
          <w:sz w:val="19"/>
          <w:szCs w:val="19"/>
        </w:rPr>
        <w:t xml:space="preserve">energii brutto na ogrzewanie i chłodzenie </w:t>
      </w:r>
      <w:r w:rsidRPr="00882E09">
        <w:rPr>
          <w:rFonts w:ascii="Fira Sans" w:hAnsi="Fira Sans"/>
          <w:sz w:val="19"/>
          <w:szCs w:val="19"/>
        </w:rPr>
        <w:t xml:space="preserve">o </w:t>
      </w:r>
      <w:r w:rsidR="000328CE" w:rsidRPr="00882E09">
        <w:rPr>
          <w:rFonts w:ascii="Fira Sans" w:hAnsi="Fira Sans"/>
          <w:sz w:val="19"/>
          <w:szCs w:val="19"/>
        </w:rPr>
        <w:t>1,42</w:t>
      </w:r>
      <w:r w:rsidRPr="00882E09">
        <w:rPr>
          <w:rFonts w:ascii="Fira Sans" w:hAnsi="Fira Sans"/>
          <w:sz w:val="19"/>
          <w:szCs w:val="19"/>
        </w:rPr>
        <w:t>%</w:t>
      </w:r>
      <w:r w:rsidR="002D21C6" w:rsidRPr="00882E09">
        <w:rPr>
          <w:rFonts w:ascii="Fira Sans" w:hAnsi="Fira Sans"/>
          <w:sz w:val="19"/>
          <w:szCs w:val="19"/>
        </w:rPr>
        <w:t>.</w:t>
      </w:r>
    </w:p>
    <w:p w:rsidR="00360C41" w:rsidRPr="00882E09" w:rsidRDefault="00360C41" w:rsidP="00E9699E">
      <w:pPr>
        <w:pStyle w:val="LID"/>
        <w:spacing w:line="240" w:lineRule="auto"/>
        <w:outlineLvl w:val="0"/>
        <w:rPr>
          <w:sz w:val="18"/>
          <w:szCs w:val="18"/>
        </w:rPr>
      </w:pPr>
      <w:r w:rsidRPr="00882E09">
        <w:rPr>
          <w:bCs/>
          <w:sz w:val="18"/>
          <w:szCs w:val="18"/>
        </w:rPr>
        <w:t xml:space="preserve">Wykres </w:t>
      </w:r>
      <w:r w:rsidR="00EE66B0" w:rsidRPr="00882E09">
        <w:rPr>
          <w:bCs/>
          <w:sz w:val="18"/>
          <w:szCs w:val="18"/>
        </w:rPr>
        <w:t>6</w:t>
      </w:r>
      <w:r w:rsidRPr="00882E09">
        <w:rPr>
          <w:sz w:val="18"/>
          <w:szCs w:val="18"/>
        </w:rPr>
        <w:t xml:space="preserve">. Udział energii ze źródeł odnawialnych w końcowym zużyciu energii brutto w </w:t>
      </w:r>
      <w:r w:rsidR="00504E25">
        <w:rPr>
          <w:sz w:val="18"/>
          <w:szCs w:val="18"/>
        </w:rPr>
        <w:br/>
        <w:t xml:space="preserve">                   </w:t>
      </w:r>
      <w:r w:rsidRPr="00882E09">
        <w:rPr>
          <w:sz w:val="18"/>
          <w:szCs w:val="18"/>
        </w:rPr>
        <w:t>ciepłownictwie i chłodnictwie</w:t>
      </w:r>
    </w:p>
    <w:p w:rsidR="00AB4C33" w:rsidRPr="00882E09" w:rsidRDefault="00367412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noProof/>
          <w:lang w:eastAsia="pl-PL"/>
        </w:rPr>
        <w:drawing>
          <wp:inline distT="0" distB="0" distL="0" distR="0" wp14:anchorId="2317CED5" wp14:editId="7B93A480">
            <wp:extent cx="5112000" cy="2052000"/>
            <wp:effectExtent l="0" t="0" r="0" b="5715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4C33" w:rsidRPr="00882E09" w:rsidRDefault="00053271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lastRenderedPageBreak/>
        <w:t>Udział energii ze źródeł odnawialnych w końcowym zużyciu energii w transporcie wzrost o 1,43 p. proc. w stosunku do 2017</w:t>
      </w:r>
      <w:r w:rsidR="00A77C42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>r.</w:t>
      </w:r>
      <w:r w:rsidR="004236A7" w:rsidRPr="00882E09">
        <w:rPr>
          <w:rFonts w:ascii="Fira Sans" w:hAnsi="Fira Sans"/>
          <w:sz w:val="19"/>
          <w:szCs w:val="19"/>
        </w:rPr>
        <w:t>,</w:t>
      </w:r>
      <w:r w:rsidRPr="00882E09">
        <w:rPr>
          <w:rFonts w:ascii="Fira Sans" w:hAnsi="Fira Sans"/>
          <w:sz w:val="19"/>
          <w:szCs w:val="19"/>
        </w:rPr>
        <w:t xml:space="preserve"> spowodowany dużym wzrostem zużycia energii odnawialnej (o </w:t>
      </w:r>
      <w:r w:rsidR="00E25D76" w:rsidRPr="00882E09">
        <w:rPr>
          <w:rFonts w:ascii="Fira Sans" w:hAnsi="Fira Sans"/>
          <w:sz w:val="19"/>
          <w:szCs w:val="19"/>
        </w:rPr>
        <w:t>39,69</w:t>
      </w:r>
      <w:r w:rsidRPr="00882E09">
        <w:rPr>
          <w:rFonts w:ascii="Fira Sans" w:hAnsi="Fira Sans"/>
          <w:sz w:val="19"/>
          <w:szCs w:val="19"/>
        </w:rPr>
        <w:t>%) przy wzroście zużycia energii w transporcie</w:t>
      </w:r>
      <w:r w:rsidR="00E25D76" w:rsidRPr="00882E09">
        <w:rPr>
          <w:rFonts w:ascii="Fira Sans" w:hAnsi="Fira Sans"/>
          <w:sz w:val="19"/>
          <w:szCs w:val="19"/>
        </w:rPr>
        <w:t xml:space="preserve"> </w:t>
      </w:r>
      <w:r w:rsidRPr="00882E09">
        <w:rPr>
          <w:rFonts w:ascii="Fira Sans" w:hAnsi="Fira Sans"/>
          <w:sz w:val="19"/>
          <w:szCs w:val="19"/>
        </w:rPr>
        <w:t xml:space="preserve">(o </w:t>
      </w:r>
      <w:r w:rsidR="00E25D76" w:rsidRPr="00882E09">
        <w:rPr>
          <w:rFonts w:ascii="Fira Sans" w:hAnsi="Fira Sans"/>
          <w:sz w:val="19"/>
          <w:szCs w:val="19"/>
        </w:rPr>
        <w:t>4,34</w:t>
      </w:r>
      <w:r w:rsidRPr="00882E09">
        <w:rPr>
          <w:rFonts w:ascii="Fira Sans" w:hAnsi="Fira Sans"/>
          <w:sz w:val="19"/>
          <w:szCs w:val="19"/>
        </w:rPr>
        <w:t>%).</w:t>
      </w:r>
    </w:p>
    <w:p w:rsidR="00360C41" w:rsidRPr="00882E09" w:rsidRDefault="00360C41" w:rsidP="00642D53">
      <w:pPr>
        <w:pStyle w:val="LID"/>
        <w:spacing w:before="240" w:line="240" w:lineRule="auto"/>
        <w:outlineLvl w:val="0"/>
        <w:rPr>
          <w:b w:val="0"/>
          <w:sz w:val="18"/>
          <w:szCs w:val="18"/>
        </w:rPr>
      </w:pPr>
      <w:r w:rsidRPr="00882E09">
        <w:rPr>
          <w:bCs/>
          <w:sz w:val="18"/>
          <w:szCs w:val="18"/>
        </w:rPr>
        <w:t xml:space="preserve">Wykres </w:t>
      </w:r>
      <w:r w:rsidR="00054B06">
        <w:rPr>
          <w:bCs/>
          <w:sz w:val="18"/>
          <w:szCs w:val="18"/>
        </w:rPr>
        <w:t>7</w:t>
      </w:r>
      <w:r w:rsidRPr="00882E09">
        <w:rPr>
          <w:sz w:val="18"/>
          <w:szCs w:val="18"/>
        </w:rPr>
        <w:t>. Udział energii ze źródeł odnawialnych w transporcie</w:t>
      </w:r>
    </w:p>
    <w:p w:rsidR="00AB4C33" w:rsidRPr="00882E09" w:rsidRDefault="00645D5C" w:rsidP="00AD15BA">
      <w:pPr>
        <w:spacing w:after="120" w:line="240" w:lineRule="auto"/>
        <w:rPr>
          <w:rFonts w:ascii="Fira Sans" w:hAnsi="Fira Sans"/>
          <w:sz w:val="19"/>
          <w:szCs w:val="19"/>
        </w:rPr>
      </w:pPr>
      <w:r w:rsidRPr="00882E09">
        <w:rPr>
          <w:noProof/>
          <w:lang w:eastAsia="pl-PL"/>
        </w:rPr>
        <w:drawing>
          <wp:inline distT="0" distB="0" distL="0" distR="0" wp14:anchorId="5A9B50E7" wp14:editId="1F80AD45">
            <wp:extent cx="5112000" cy="22680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43F8" w:rsidRPr="00882E09" w:rsidRDefault="00F22DDF" w:rsidP="002F5393">
      <w:pPr>
        <w:spacing w:before="240" w:after="120" w:line="240" w:lineRule="auto"/>
        <w:rPr>
          <w:rFonts w:ascii="Fira Sans SemiBold" w:hAnsi="Fira Sans SemiBold"/>
          <w:color w:val="001D77"/>
          <w:sz w:val="19"/>
          <w:szCs w:val="19"/>
        </w:rPr>
      </w:pPr>
      <w:r w:rsidRPr="00882E09">
        <w:rPr>
          <w:b/>
          <w:noProof/>
          <w:color w:val="212492"/>
          <w:spacing w:val="-2"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4414DF14" wp14:editId="6FBED6B5">
                <wp:simplePos x="0" y="0"/>
                <wp:positionH relativeFrom="column">
                  <wp:posOffset>5270500</wp:posOffset>
                </wp:positionH>
                <wp:positionV relativeFrom="paragraph">
                  <wp:posOffset>399720</wp:posOffset>
                </wp:positionV>
                <wp:extent cx="1794510" cy="1079500"/>
                <wp:effectExtent l="0" t="0" r="0" b="6350"/>
                <wp:wrapTight wrapText="bothSides">
                  <wp:wrapPolygon edited="0">
                    <wp:start x="688" y="0"/>
                    <wp:lineTo x="688" y="21346"/>
                    <wp:lineTo x="20866" y="21346"/>
                    <wp:lineTo x="20866" y="0"/>
                    <wp:lineTo x="688" y="0"/>
                  </wp:wrapPolygon>
                </wp:wrapTight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587" w:rsidRPr="00C275DE" w:rsidRDefault="004236A7" w:rsidP="008C5BEB">
                            <w:pPr>
                              <w:pStyle w:val="tekstzboku"/>
                            </w:pPr>
                            <w:r>
                              <w:t>11 krajów członkowskich</w:t>
                            </w:r>
                            <w:r w:rsidR="005332FA">
                              <w:t xml:space="preserve"> już </w:t>
                            </w:r>
                            <w:r w:rsidR="008643F8" w:rsidRPr="008643F8">
                              <w:t xml:space="preserve"> </w:t>
                            </w:r>
                            <w:r>
                              <w:t xml:space="preserve">osiągnęło </w:t>
                            </w:r>
                            <w:r w:rsidR="008643F8" w:rsidRPr="008643F8">
                              <w:t>docelow</w:t>
                            </w:r>
                            <w:r w:rsidR="00643662">
                              <w:t>y</w:t>
                            </w:r>
                            <w:r w:rsidR="008643F8" w:rsidRPr="008643F8">
                              <w:t xml:space="preserve"> udział energii ze źródeł </w:t>
                            </w:r>
                            <w:r w:rsidR="009C34D0">
                              <w:t>odnawialnych</w:t>
                            </w:r>
                            <w:r>
                              <w:t>, 17</w:t>
                            </w:r>
                            <w:r w:rsidR="00D81EB6">
                              <w:t xml:space="preserve"> krajów członkowskich </w:t>
                            </w:r>
                            <w:r>
                              <w:t xml:space="preserve">dąży do wyznaczonego celu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DF14" id="_x0000_s1034" type="#_x0000_t202" style="position:absolute;margin-left:415pt;margin-top:31.45pt;width:141.3pt;height:8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" filled="f" stroked="f">
                <v:textbox>
                  <w:txbxContent>
                    <w:p w:rsidR="00664587" w:rsidRPr="00C275DE" w:rsidRDefault="004236A7" w:rsidP="008C5BEB">
                      <w:pPr>
                        <w:pStyle w:val="tekstzboku"/>
                      </w:pPr>
                      <w:r>
                        <w:t>11 krajów członkowskich</w:t>
                      </w:r>
                      <w:r w:rsidR="005332FA">
                        <w:t xml:space="preserve"> już </w:t>
                      </w:r>
                      <w:r w:rsidR="008643F8" w:rsidRPr="008643F8">
                        <w:t xml:space="preserve"> </w:t>
                      </w:r>
                      <w:r>
                        <w:t xml:space="preserve">osiągnęło </w:t>
                      </w:r>
                      <w:r w:rsidR="008643F8" w:rsidRPr="008643F8">
                        <w:t>docelow</w:t>
                      </w:r>
                      <w:r w:rsidR="00643662">
                        <w:t>y</w:t>
                      </w:r>
                      <w:r w:rsidR="008643F8" w:rsidRPr="008643F8">
                        <w:t xml:space="preserve"> udział energii ze źródeł </w:t>
                      </w:r>
                      <w:r w:rsidR="009C34D0">
                        <w:t>odnawialnych</w:t>
                      </w:r>
                      <w:r>
                        <w:t>, 17</w:t>
                      </w:r>
                      <w:r w:rsidR="00D81EB6">
                        <w:t xml:space="preserve"> krajów członkowskich </w:t>
                      </w:r>
                      <w:r>
                        <w:t xml:space="preserve">dąży do wyznaczonego celu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F7B34" w:rsidRPr="00882E09">
        <w:rPr>
          <w:rFonts w:ascii="Fira Sans SemiBold" w:hAnsi="Fira Sans SemiBold"/>
          <w:color w:val="001D77"/>
          <w:sz w:val="19"/>
          <w:szCs w:val="19"/>
        </w:rPr>
        <w:t>Kraje członkowskie</w:t>
      </w:r>
      <w:r w:rsidR="005C6F54" w:rsidRPr="00882E09">
        <w:rPr>
          <w:rFonts w:ascii="Fira Sans SemiBold" w:hAnsi="Fira Sans SemiBold"/>
          <w:color w:val="001D77"/>
          <w:sz w:val="19"/>
          <w:szCs w:val="19"/>
        </w:rPr>
        <w:t>,</w:t>
      </w:r>
      <w:r w:rsidR="00CF7B34" w:rsidRPr="00882E09">
        <w:rPr>
          <w:rFonts w:ascii="Fira Sans SemiBold" w:hAnsi="Fira Sans SemiBold"/>
          <w:color w:val="001D77"/>
          <w:sz w:val="19"/>
          <w:szCs w:val="19"/>
        </w:rPr>
        <w:t xml:space="preserve"> które </w:t>
      </w:r>
      <w:r w:rsidR="0063263B" w:rsidRPr="00882E09">
        <w:rPr>
          <w:rFonts w:ascii="Fira Sans SemiBold" w:hAnsi="Fira Sans SemiBold"/>
          <w:color w:val="001D77"/>
          <w:sz w:val="19"/>
          <w:szCs w:val="19"/>
        </w:rPr>
        <w:t xml:space="preserve">osiągnęły </w:t>
      </w:r>
      <w:r w:rsidR="00CF7B34" w:rsidRPr="00882E09">
        <w:rPr>
          <w:rFonts w:ascii="Fira Sans SemiBold" w:hAnsi="Fira Sans SemiBold"/>
          <w:color w:val="001D77"/>
          <w:sz w:val="19"/>
          <w:szCs w:val="19"/>
        </w:rPr>
        <w:t xml:space="preserve"> (nie</w:t>
      </w:r>
      <w:r w:rsidR="0063263B" w:rsidRPr="00882E09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="005C6F54" w:rsidRPr="00882E09">
        <w:rPr>
          <w:rFonts w:ascii="Fira Sans SemiBold" w:hAnsi="Fira Sans SemiBold"/>
          <w:color w:val="001D77"/>
          <w:sz w:val="19"/>
          <w:szCs w:val="19"/>
        </w:rPr>
        <w:t>osiągnę</w:t>
      </w:r>
      <w:r w:rsidR="0063263B" w:rsidRPr="00882E09">
        <w:rPr>
          <w:rFonts w:ascii="Fira Sans SemiBold" w:hAnsi="Fira Sans SemiBold"/>
          <w:color w:val="001D77"/>
          <w:sz w:val="19"/>
          <w:szCs w:val="19"/>
        </w:rPr>
        <w:t>ły</w:t>
      </w:r>
      <w:r w:rsidR="00A60376" w:rsidRPr="00882E09">
        <w:rPr>
          <w:rFonts w:ascii="Fira Sans SemiBold" w:hAnsi="Fira Sans SemiBold"/>
          <w:color w:val="001D77"/>
          <w:sz w:val="19"/>
          <w:szCs w:val="19"/>
        </w:rPr>
        <w:t>) ce</w:t>
      </w:r>
      <w:r w:rsidR="001F0FB5" w:rsidRPr="00882E09">
        <w:rPr>
          <w:rFonts w:ascii="Fira Sans SemiBold" w:hAnsi="Fira Sans SemiBold"/>
          <w:color w:val="001D77"/>
          <w:sz w:val="19"/>
          <w:szCs w:val="19"/>
        </w:rPr>
        <w:t xml:space="preserve">le </w:t>
      </w:r>
      <w:r w:rsidR="00A60376" w:rsidRPr="00882E09">
        <w:rPr>
          <w:rFonts w:ascii="Fira Sans SemiBold" w:hAnsi="Fira Sans SemiBold"/>
          <w:color w:val="001D77"/>
          <w:sz w:val="19"/>
          <w:szCs w:val="19"/>
        </w:rPr>
        <w:t>w zakresie</w:t>
      </w:r>
      <w:r w:rsidR="00CF7B34" w:rsidRPr="00882E09">
        <w:rPr>
          <w:rFonts w:ascii="Fira Sans SemiBold" w:hAnsi="Fira Sans SemiBold"/>
          <w:color w:val="001D77"/>
          <w:sz w:val="19"/>
          <w:szCs w:val="19"/>
        </w:rPr>
        <w:t xml:space="preserve"> udział</w:t>
      </w:r>
      <w:r w:rsidR="00A60376" w:rsidRPr="00882E09">
        <w:rPr>
          <w:rFonts w:ascii="Fira Sans SemiBold" w:hAnsi="Fira Sans SemiBold"/>
          <w:color w:val="001D77"/>
          <w:sz w:val="19"/>
          <w:szCs w:val="19"/>
        </w:rPr>
        <w:t>u</w:t>
      </w:r>
      <w:r w:rsidR="00CF7B34" w:rsidRPr="00882E09">
        <w:rPr>
          <w:rFonts w:ascii="Fira Sans SemiBold" w:hAnsi="Fira Sans SemiBold"/>
          <w:color w:val="001D77"/>
          <w:sz w:val="19"/>
          <w:szCs w:val="19"/>
        </w:rPr>
        <w:t xml:space="preserve"> energii ze źródeł odnawialnych</w:t>
      </w:r>
      <w:r w:rsidR="00D97A2D" w:rsidRPr="00882E09">
        <w:rPr>
          <w:rFonts w:ascii="Fira Sans SemiBold" w:hAnsi="Fira Sans SemiBold"/>
          <w:color w:val="001D77"/>
          <w:sz w:val="19"/>
          <w:szCs w:val="19"/>
        </w:rPr>
        <w:t xml:space="preserve"> w końcowym zużyciu energii brutto oraz w transporcie</w:t>
      </w:r>
    </w:p>
    <w:p w:rsidR="00660656" w:rsidRPr="00882E09" w:rsidRDefault="0097232D" w:rsidP="002F5393">
      <w:pPr>
        <w:pStyle w:val="Nagwek1"/>
        <w:spacing w:after="120" w:line="240" w:lineRule="auto"/>
        <w:rPr>
          <w:rFonts w:ascii="Fira Sans SemiBold" w:hAnsi="Fira Sans SemiBold"/>
          <w:color w:val="auto"/>
          <w:sz w:val="19"/>
          <w:szCs w:val="19"/>
        </w:rPr>
      </w:pPr>
      <w:r w:rsidRPr="00882E09">
        <w:rPr>
          <w:rFonts w:ascii="Fira Sans SemiBold" w:hAnsi="Fira Sans SemiBold"/>
          <w:color w:val="auto"/>
          <w:sz w:val="19"/>
          <w:szCs w:val="19"/>
        </w:rPr>
        <w:t>Wykres 8</w:t>
      </w:r>
      <w:r w:rsidR="008643F8" w:rsidRPr="00882E09">
        <w:rPr>
          <w:rFonts w:ascii="Fira Sans SemiBold" w:hAnsi="Fira Sans SemiBold"/>
          <w:color w:val="auto"/>
          <w:sz w:val="19"/>
          <w:szCs w:val="19"/>
        </w:rPr>
        <w:t xml:space="preserve">. </w:t>
      </w:r>
      <w:r w:rsidR="001B578C" w:rsidRPr="00882E09">
        <w:rPr>
          <w:rFonts w:ascii="Fira Sans SemiBold" w:hAnsi="Fira Sans SemiBold"/>
          <w:color w:val="auto"/>
          <w:sz w:val="19"/>
          <w:szCs w:val="19"/>
        </w:rPr>
        <w:t>Realizacja w 2017 r. w krajach członkowskich założonego</w:t>
      </w:r>
      <w:r w:rsidR="0009276C">
        <w:rPr>
          <w:rFonts w:ascii="Fira Sans SemiBold" w:hAnsi="Fira Sans SemiBold"/>
          <w:color w:val="auto"/>
          <w:sz w:val="19"/>
          <w:szCs w:val="19"/>
        </w:rPr>
        <w:t xml:space="preserve"> </w:t>
      </w:r>
      <w:r w:rsidR="001B578C" w:rsidRPr="00882E09">
        <w:rPr>
          <w:rFonts w:ascii="Fira Sans SemiBold" w:hAnsi="Fira Sans SemiBold"/>
          <w:color w:val="auto"/>
          <w:sz w:val="19"/>
          <w:szCs w:val="19"/>
        </w:rPr>
        <w:t xml:space="preserve">celu udziału energii ze </w:t>
      </w:r>
      <w:r w:rsidR="00504E25">
        <w:rPr>
          <w:rFonts w:ascii="Fira Sans SemiBold" w:hAnsi="Fira Sans SemiBold"/>
          <w:color w:val="auto"/>
          <w:sz w:val="19"/>
          <w:szCs w:val="19"/>
        </w:rPr>
        <w:br/>
        <w:t xml:space="preserve">                   </w:t>
      </w:r>
      <w:r w:rsidR="001B578C" w:rsidRPr="00882E09">
        <w:rPr>
          <w:rFonts w:ascii="Fira Sans SemiBold" w:hAnsi="Fira Sans SemiBold"/>
          <w:color w:val="auto"/>
          <w:sz w:val="19"/>
          <w:szCs w:val="19"/>
        </w:rPr>
        <w:t>źródeł odnawialnych w końcowym zużyciu energii brutto</w:t>
      </w:r>
    </w:p>
    <w:p w:rsidR="00431C4B" w:rsidRDefault="008643F8" w:rsidP="00F22DDF">
      <w:pPr>
        <w:spacing w:after="0" w:line="240" w:lineRule="exact"/>
        <w:jc w:val="both"/>
        <w:rPr>
          <w:rFonts w:ascii="Fira Sans SemiBold" w:hAnsi="Fira Sans SemiBold"/>
          <w:sz w:val="19"/>
          <w:szCs w:val="19"/>
        </w:rPr>
      </w:pPr>
      <w:r w:rsidRPr="00882E09">
        <w:rPr>
          <w:noProof/>
          <w:lang w:eastAsia="pl-PL"/>
        </w:rPr>
        <w:drawing>
          <wp:anchor distT="0" distB="0" distL="114300" distR="114300" simplePos="0" relativeHeight="251709440" behindDoc="0" locked="0" layoutInCell="1" allowOverlap="1" wp14:anchorId="0B2A4F12" wp14:editId="71282779">
            <wp:simplePos x="0" y="0"/>
            <wp:positionH relativeFrom="column">
              <wp:posOffset>0</wp:posOffset>
            </wp:positionH>
            <wp:positionV relativeFrom="paragraph">
              <wp:posOffset>148590</wp:posOffset>
            </wp:positionV>
            <wp:extent cx="5112000" cy="1872000"/>
            <wp:effectExtent l="0" t="0" r="0" b="0"/>
            <wp:wrapTopAndBottom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</w:p>
    <w:p w:rsidR="00BF38AD" w:rsidRDefault="00BF38AD" w:rsidP="00BF38AD">
      <w:pPr>
        <w:spacing w:after="120" w:line="240" w:lineRule="exact"/>
        <w:rPr>
          <w:rFonts w:ascii="Fira Sans" w:hAnsi="Fira Sans"/>
          <w:sz w:val="19"/>
          <w:szCs w:val="19"/>
        </w:rPr>
      </w:pPr>
      <w:r w:rsidRPr="00882E09">
        <w:rPr>
          <w:rFonts w:ascii="Fira Sans" w:hAnsi="Fira Sans"/>
          <w:sz w:val="19"/>
          <w:szCs w:val="19"/>
        </w:rPr>
        <w:t xml:space="preserve">W 2017 r. 11 krajów członkowskich osiągnęło i przekroczyło (wyznaczony na 2020 r.) docelowy udział energii ze źródeł odnawialnych w końcowym zużyciu energii brutto. Pozostałe 17 krajów w dalszym ciągu dąży do realizacji wyznaczonego celu. </w:t>
      </w:r>
    </w:p>
    <w:p w:rsidR="00BF38AD" w:rsidRDefault="00BF38AD" w:rsidP="00F22DDF">
      <w:pPr>
        <w:spacing w:after="0" w:line="240" w:lineRule="exact"/>
        <w:jc w:val="both"/>
        <w:rPr>
          <w:rFonts w:ascii="Fira Sans SemiBold" w:hAnsi="Fira Sans SemiBold"/>
          <w:sz w:val="19"/>
          <w:szCs w:val="19"/>
        </w:rPr>
      </w:pPr>
      <w:r w:rsidRPr="00882E09">
        <w:rPr>
          <w:rFonts w:ascii="Fira Sans SemiBold" w:hAnsi="Fira Sans SemiBold"/>
          <w:sz w:val="19"/>
          <w:szCs w:val="19"/>
        </w:rPr>
        <w:t>Wykres 9. Realizacja w 2017</w:t>
      </w:r>
      <w:r>
        <w:rPr>
          <w:rFonts w:ascii="Fira Sans SemiBold" w:hAnsi="Fira Sans SemiBold"/>
          <w:sz w:val="19"/>
          <w:szCs w:val="19"/>
        </w:rPr>
        <w:t xml:space="preserve"> </w:t>
      </w:r>
      <w:r w:rsidRPr="00882E09">
        <w:rPr>
          <w:rFonts w:ascii="Fira Sans SemiBold" w:hAnsi="Fira Sans SemiBold"/>
          <w:sz w:val="19"/>
          <w:szCs w:val="19"/>
        </w:rPr>
        <w:t xml:space="preserve">r. w krajach członkowskich założonego celu udziału energii ze </w:t>
      </w:r>
      <w:r w:rsidR="00504E25">
        <w:rPr>
          <w:rFonts w:ascii="Fira Sans SemiBold" w:hAnsi="Fira Sans SemiBold"/>
          <w:sz w:val="19"/>
          <w:szCs w:val="19"/>
        </w:rPr>
        <w:br/>
        <w:t xml:space="preserve">                    </w:t>
      </w:r>
      <w:r w:rsidRPr="00882E09">
        <w:rPr>
          <w:rFonts w:ascii="Fira Sans SemiBold" w:hAnsi="Fira Sans SemiBold"/>
          <w:sz w:val="19"/>
          <w:szCs w:val="19"/>
        </w:rPr>
        <w:t>źródeł odnawialnych w transporcie</w:t>
      </w:r>
    </w:p>
    <w:p w:rsidR="00BF38AD" w:rsidRPr="00882E09" w:rsidRDefault="00BF38AD" w:rsidP="00F22DDF">
      <w:pPr>
        <w:spacing w:after="0" w:line="240" w:lineRule="exact"/>
        <w:jc w:val="both"/>
        <w:rPr>
          <w:rFonts w:ascii="Fira Sans SemiBold" w:hAnsi="Fira Sans SemiBold"/>
          <w:sz w:val="19"/>
          <w:szCs w:val="19"/>
        </w:rPr>
      </w:pPr>
    </w:p>
    <w:p w:rsidR="00B467BA" w:rsidRPr="00882E09" w:rsidRDefault="009C34D0" w:rsidP="00B467BA">
      <w:pPr>
        <w:jc w:val="both"/>
      </w:pPr>
      <w:r w:rsidRPr="00882E09">
        <w:rPr>
          <w:noProof/>
          <w:lang w:eastAsia="pl-PL"/>
        </w:rPr>
        <w:drawing>
          <wp:inline distT="0" distB="0" distL="0" distR="0" wp14:anchorId="1F2351FE" wp14:editId="290D36D2">
            <wp:extent cx="5112000" cy="1872000"/>
            <wp:effectExtent l="0" t="0" r="0" b="0"/>
            <wp:docPr id="47" name="Wykres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26FDA" w:rsidRDefault="00D85CAC" w:rsidP="003333BF">
      <w:pPr>
        <w:spacing w:after="120" w:line="240" w:lineRule="exact"/>
        <w:rPr>
          <w:rFonts w:ascii="Fira Sans" w:hAnsi="Fira Sans"/>
          <w:sz w:val="19"/>
          <w:szCs w:val="19"/>
        </w:rPr>
        <w:sectPr w:rsidR="00726FDA" w:rsidSect="00726FDA">
          <w:headerReference w:type="default" r:id="rId18"/>
          <w:footerReference w:type="default" r:id="rId19"/>
          <w:headerReference w:type="first" r:id="rId20"/>
          <w:pgSz w:w="11906" w:h="16838" w:code="9"/>
          <w:pgMar w:top="720" w:right="3119" w:bottom="720" w:left="720" w:header="170" w:footer="397" w:gutter="0"/>
          <w:cols w:space="708"/>
          <w:titlePg/>
          <w:docGrid w:linePitch="360"/>
        </w:sectPr>
      </w:pPr>
      <w:r w:rsidRPr="00882E09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746964</wp:posOffset>
                </wp:positionH>
                <wp:positionV relativeFrom="paragraph">
                  <wp:posOffset>1162050</wp:posOffset>
                </wp:positionV>
                <wp:extent cx="5160294" cy="10102215"/>
                <wp:effectExtent l="0" t="0" r="254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0294" cy="10102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AD" w:rsidRDefault="00691AAD" w:rsidP="00691AAD">
                            <w:pPr>
                              <w:jc w:val="center"/>
                            </w:pPr>
                          </w:p>
                          <w:p w:rsidR="00D34CDA" w:rsidRDefault="00D34CDA" w:rsidP="00691AAD">
                            <w:pPr>
                              <w:jc w:val="center"/>
                            </w:pPr>
                          </w:p>
                          <w:p w:rsidR="00D34CDA" w:rsidRDefault="00D34CDA" w:rsidP="00691AAD">
                            <w:pPr>
                              <w:jc w:val="center"/>
                            </w:pPr>
                          </w:p>
                          <w:p w:rsidR="00D34CDA" w:rsidRDefault="00D34CDA" w:rsidP="00691AAD">
                            <w:pPr>
                              <w:jc w:val="center"/>
                            </w:pPr>
                          </w:p>
                          <w:p w:rsidR="00D34CDA" w:rsidRDefault="00D34CDA" w:rsidP="00691A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35" style="position:absolute;margin-left:58.8pt;margin-top:91.5pt;width:406.3pt;height:795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" fillcolor="white [3201]" stroked="f" strokeweight="1pt">
                <v:textbox>
                  <w:txbxContent>
                    <w:p w:rsidR="00691AAD" w:rsidRDefault="00691AAD" w:rsidP="00691AAD">
                      <w:pPr>
                        <w:jc w:val="center"/>
                      </w:pPr>
                    </w:p>
                    <w:p w:rsidR="00D34CDA" w:rsidRDefault="00D34CDA" w:rsidP="00691AAD">
                      <w:pPr>
                        <w:jc w:val="center"/>
                      </w:pPr>
                    </w:p>
                    <w:p w:rsidR="00D34CDA" w:rsidRDefault="00D34CDA" w:rsidP="00691AAD">
                      <w:pPr>
                        <w:jc w:val="center"/>
                      </w:pPr>
                    </w:p>
                    <w:p w:rsidR="00D34CDA" w:rsidRDefault="00D34CDA" w:rsidP="00691AAD">
                      <w:pPr>
                        <w:jc w:val="center"/>
                      </w:pPr>
                    </w:p>
                    <w:p w:rsidR="00D34CDA" w:rsidRDefault="00D34CDA" w:rsidP="00691A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1BAA" w:rsidRPr="00882E09">
        <w:rPr>
          <w:rFonts w:ascii="Fira Sans" w:hAnsi="Fira Sans"/>
          <w:sz w:val="19"/>
          <w:szCs w:val="19"/>
        </w:rPr>
        <w:t>Docelowy 10% udział energii ze źródeł odnawialnych w transporcie w 2017 r. (wyznaczony na 2020 r.) osiągnęły i przekroczyły Finlandia i Szwecja. Pozostałe 26 krajów nadal dąży do wyznaczonego celu</w:t>
      </w:r>
      <w:r w:rsidR="001F3ECC" w:rsidRPr="00882E09">
        <w:rPr>
          <w:rFonts w:ascii="Fira Sans" w:hAnsi="Fira Sans"/>
          <w:sz w:val="19"/>
          <w:szCs w:val="19"/>
        </w:rPr>
        <w:t>.</w:t>
      </w:r>
    </w:p>
    <w:p w:rsidR="000438E2" w:rsidRPr="00882E09" w:rsidRDefault="000438E2" w:rsidP="003333BF">
      <w:pPr>
        <w:spacing w:after="120" w:line="240" w:lineRule="exact"/>
        <w:rPr>
          <w:rFonts w:ascii="Fira Sans" w:hAnsi="Fira Sans"/>
          <w:sz w:val="19"/>
          <w:szCs w:val="19"/>
        </w:rPr>
      </w:pPr>
    </w:p>
    <w:tbl>
      <w:tblPr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4255"/>
        <w:gridCol w:w="3812"/>
      </w:tblGrid>
      <w:tr w:rsidR="00C161AE" w:rsidRPr="00783E8D" w:rsidTr="004D46A8">
        <w:trPr>
          <w:trHeight w:val="1912"/>
        </w:trPr>
        <w:tc>
          <w:tcPr>
            <w:tcW w:w="4255" w:type="dxa"/>
          </w:tcPr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882E09">
              <w:rPr>
                <w:rFonts w:ascii="Fira Sans" w:hAnsi="Fira Sans"/>
                <w:sz w:val="20"/>
                <w:szCs w:val="20"/>
              </w:rPr>
              <w:t>Opracowanie merytoryczne:</w:t>
            </w:r>
          </w:p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882E09">
              <w:rPr>
                <w:rFonts w:ascii="Fira Sans" w:hAnsi="Fira Sans"/>
                <w:b/>
                <w:sz w:val="20"/>
                <w:szCs w:val="20"/>
              </w:rPr>
              <w:t>Departament Przedsiębiorstw</w:t>
            </w:r>
          </w:p>
          <w:p w:rsidR="00C161AE" w:rsidRPr="00783E8D" w:rsidRDefault="00D85CAC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783E8D">
              <w:rPr>
                <w:rFonts w:ascii="Fira Sans" w:hAnsi="Fira Sans"/>
                <w:b/>
                <w:sz w:val="20"/>
                <w:szCs w:val="20"/>
              </w:rPr>
              <w:t xml:space="preserve">Aureliusz </w:t>
            </w:r>
            <w:proofErr w:type="spellStart"/>
            <w:r w:rsidRPr="00783E8D">
              <w:rPr>
                <w:rFonts w:ascii="Fira Sans" w:hAnsi="Fira Sans"/>
                <w:b/>
                <w:sz w:val="20"/>
                <w:szCs w:val="20"/>
              </w:rPr>
              <w:t>Jurgaś</w:t>
            </w:r>
            <w:proofErr w:type="spellEnd"/>
          </w:p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fi-FI"/>
              </w:rPr>
            </w:pPr>
            <w:r w:rsidRPr="00882E09">
              <w:rPr>
                <w:rFonts w:ascii="Fira Sans" w:hAnsi="Fira Sans"/>
                <w:sz w:val="20"/>
                <w:szCs w:val="20"/>
                <w:lang w:val="fi-FI"/>
              </w:rPr>
              <w:t>Tel: 22</w:t>
            </w:r>
            <w:r w:rsidRPr="00882E09">
              <w:rPr>
                <w:rFonts w:ascii="Fira Sans" w:hAnsi="Fira Sans"/>
                <w:sz w:val="20"/>
                <w:szCs w:val="20"/>
                <w:lang w:val="en-US"/>
              </w:rPr>
              <w:t xml:space="preserve"> 608 3</w:t>
            </w:r>
            <w:r w:rsidR="00D85CAC">
              <w:rPr>
                <w:rFonts w:ascii="Fira Sans" w:hAnsi="Fira Sans"/>
                <w:sz w:val="20"/>
                <w:szCs w:val="20"/>
                <w:lang w:val="en-US"/>
              </w:rPr>
              <w:t>3</w:t>
            </w:r>
            <w:r w:rsidRPr="00882E09">
              <w:rPr>
                <w:rFonts w:ascii="Fira Sans" w:hAnsi="Fira Sans"/>
                <w:sz w:val="20"/>
                <w:szCs w:val="20"/>
                <w:lang w:val="en-US"/>
              </w:rPr>
              <w:t xml:space="preserve"> </w:t>
            </w:r>
            <w:r w:rsidR="00D85CAC">
              <w:rPr>
                <w:rFonts w:ascii="Fira Sans" w:hAnsi="Fira Sans"/>
                <w:sz w:val="20"/>
                <w:szCs w:val="20"/>
                <w:lang w:val="en-US"/>
              </w:rPr>
              <w:t>89</w:t>
            </w:r>
          </w:p>
          <w:p w:rsidR="00C161AE" w:rsidRPr="00882E09" w:rsidRDefault="00D85CAC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  <w:lang w:val="en-US"/>
              </w:rPr>
            </w:pPr>
            <w:r w:rsidRPr="00D85CAC">
              <w:rPr>
                <w:rFonts w:ascii="Fira Sans" w:hAnsi="Fira Sans"/>
                <w:b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783E8D">
                <w:rPr>
                  <w:rStyle w:val="Hipercze"/>
                  <w:rFonts w:ascii="Fira Sans" w:hAnsi="Fira Sans"/>
                  <w:b/>
                  <w:color w:val="auto"/>
                  <w:sz w:val="20"/>
                  <w:szCs w:val="20"/>
                  <w:lang w:val="en-US"/>
                </w:rPr>
                <w:t>A.Jurgas@stat.gov.pl</w:t>
              </w:r>
            </w:hyperlink>
          </w:p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fi-FI"/>
              </w:rPr>
            </w:pPr>
          </w:p>
        </w:tc>
        <w:tc>
          <w:tcPr>
            <w:tcW w:w="3812" w:type="dxa"/>
          </w:tcPr>
          <w:p w:rsidR="005A0F27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</w:rPr>
            </w:pPr>
            <w:r w:rsidRPr="00882E09">
              <w:rPr>
                <w:rFonts w:ascii="Fira Sans" w:hAnsi="Fira Sans"/>
                <w:sz w:val="20"/>
                <w:szCs w:val="20"/>
              </w:rPr>
              <w:t>Rozpowszechnianie:</w:t>
            </w:r>
          </w:p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882E09">
              <w:rPr>
                <w:rFonts w:ascii="Fira Sans" w:hAnsi="Fira Sans"/>
                <w:b/>
                <w:sz w:val="20"/>
                <w:szCs w:val="20"/>
              </w:rPr>
              <w:t>Rzecznik Prasowy Prezesa GUS</w:t>
            </w:r>
          </w:p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b/>
                <w:sz w:val="20"/>
                <w:szCs w:val="20"/>
              </w:rPr>
            </w:pPr>
            <w:r w:rsidRPr="00882E09">
              <w:rPr>
                <w:rFonts w:ascii="Fira Sans" w:hAnsi="Fira Sans"/>
                <w:b/>
                <w:sz w:val="20"/>
                <w:szCs w:val="20"/>
              </w:rPr>
              <w:t xml:space="preserve">Karolina </w:t>
            </w:r>
            <w:r w:rsidR="003B006B" w:rsidRPr="00882E09">
              <w:rPr>
                <w:rFonts w:ascii="Fira Sans" w:hAnsi="Fira Sans"/>
                <w:b/>
                <w:sz w:val="20"/>
                <w:szCs w:val="20"/>
              </w:rPr>
              <w:t>Banasz</w:t>
            </w:r>
            <w:r w:rsidR="000C10E9" w:rsidRPr="00882E09">
              <w:rPr>
                <w:rFonts w:ascii="Fira Sans" w:hAnsi="Fira Sans"/>
                <w:b/>
                <w:sz w:val="20"/>
                <w:szCs w:val="20"/>
              </w:rPr>
              <w:t>e</w:t>
            </w:r>
            <w:r w:rsidR="003B006B" w:rsidRPr="00882E09">
              <w:rPr>
                <w:rFonts w:ascii="Fira Sans" w:hAnsi="Fira Sans"/>
                <w:b/>
                <w:sz w:val="20"/>
                <w:szCs w:val="20"/>
              </w:rPr>
              <w:t>k</w:t>
            </w:r>
          </w:p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fi-FI"/>
              </w:rPr>
            </w:pPr>
            <w:r w:rsidRPr="00882E09">
              <w:rPr>
                <w:rFonts w:ascii="Fira Sans" w:hAnsi="Fira Sans"/>
                <w:sz w:val="20"/>
                <w:szCs w:val="20"/>
                <w:lang w:val="fi-FI"/>
              </w:rPr>
              <w:t>Tel: 22 608 3475, 22 608 30 09</w:t>
            </w:r>
          </w:p>
          <w:p w:rsidR="00C161AE" w:rsidRPr="00882E09" w:rsidRDefault="00C161AE" w:rsidP="00C161AE">
            <w:pPr>
              <w:spacing w:after="120" w:line="240" w:lineRule="auto"/>
              <w:jc w:val="both"/>
              <w:rPr>
                <w:rFonts w:ascii="Fira Sans" w:hAnsi="Fira Sans"/>
                <w:sz w:val="20"/>
                <w:szCs w:val="20"/>
                <w:lang w:val="en-US"/>
              </w:rPr>
            </w:pPr>
            <w:r w:rsidRPr="00882E09">
              <w:rPr>
                <w:rFonts w:ascii="Fira Sans" w:hAnsi="Fira Sans"/>
                <w:b/>
                <w:sz w:val="20"/>
                <w:szCs w:val="20"/>
                <w:lang w:val="en-US"/>
              </w:rPr>
              <w:t xml:space="preserve">e-mail: </w:t>
            </w:r>
            <w:hyperlink r:id="rId22" w:history="1">
              <w:r w:rsidRPr="00783E8D">
                <w:rPr>
                  <w:rStyle w:val="Hipercze"/>
                  <w:rFonts w:ascii="Fira Sans" w:hAnsi="Fira Sans"/>
                  <w:b/>
                  <w:color w:val="auto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2C3CAC" w:rsidRPr="00882E09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US"/>
        </w:rPr>
      </w:pPr>
    </w:p>
    <w:tbl>
      <w:tblPr>
        <w:tblStyle w:val="Tabela-Siatka"/>
        <w:tblpPr w:leftFromText="141" w:rightFromText="141" w:vertAnchor="text" w:horzAnchor="margin" w:tblpY="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C161AE" w:rsidRPr="00882E09" w:rsidTr="004D46A8">
        <w:trPr>
          <w:trHeight w:val="610"/>
        </w:trPr>
        <w:tc>
          <w:tcPr>
            <w:tcW w:w="2721" w:type="pct"/>
            <w:vMerge w:val="restart"/>
            <w:vAlign w:val="center"/>
          </w:tcPr>
          <w:p w:rsidR="00C161AE" w:rsidRPr="00783E8D" w:rsidRDefault="00C161AE" w:rsidP="00C161AE">
            <w:pPr>
              <w:spacing w:after="120"/>
              <w:jc w:val="both"/>
              <w:rPr>
                <w:rFonts w:ascii="Fira Sans" w:hAnsi="Fira Sans"/>
                <w:b/>
                <w:sz w:val="20"/>
                <w:szCs w:val="19"/>
              </w:rPr>
            </w:pPr>
            <w:r w:rsidRPr="00783E8D">
              <w:rPr>
                <w:rFonts w:ascii="Fira Sans" w:hAnsi="Fira Sans"/>
                <w:b/>
                <w:sz w:val="20"/>
                <w:szCs w:val="19"/>
              </w:rPr>
              <w:t xml:space="preserve">Wydział Współpracy z Mediami </w:t>
            </w:r>
          </w:p>
          <w:p w:rsidR="00C161AE" w:rsidRPr="00783E8D" w:rsidRDefault="00783E8D" w:rsidP="00C161AE">
            <w:pPr>
              <w:spacing w:after="120"/>
              <w:jc w:val="both"/>
              <w:rPr>
                <w:rFonts w:ascii="Fira Sans" w:hAnsi="Fira Sans"/>
                <w:sz w:val="20"/>
                <w:szCs w:val="19"/>
              </w:rPr>
            </w:pPr>
            <w:r w:rsidRPr="00783E8D">
              <w:rPr>
                <w:rFonts w:ascii="Fira Sans" w:hAnsi="Fira Sans"/>
                <w:sz w:val="20"/>
                <w:szCs w:val="19"/>
              </w:rPr>
              <w:t>Tel:</w:t>
            </w:r>
            <w:r w:rsidR="00C161AE" w:rsidRPr="00783E8D">
              <w:rPr>
                <w:rFonts w:ascii="Fira Sans" w:hAnsi="Fira Sans"/>
                <w:b/>
                <w:sz w:val="20"/>
                <w:szCs w:val="19"/>
              </w:rPr>
              <w:t xml:space="preserve"> </w:t>
            </w:r>
            <w:r w:rsidRPr="00783E8D">
              <w:rPr>
                <w:rFonts w:ascii="Fira Sans" w:hAnsi="Fira Sans"/>
                <w:sz w:val="20"/>
                <w:szCs w:val="19"/>
              </w:rPr>
              <w:t>22 608 34 91, 22</w:t>
            </w:r>
            <w:r w:rsidR="00C161AE" w:rsidRPr="00783E8D">
              <w:rPr>
                <w:rFonts w:ascii="Fira Sans" w:hAnsi="Fira Sans"/>
                <w:sz w:val="20"/>
                <w:szCs w:val="19"/>
              </w:rPr>
              <w:t xml:space="preserve"> 608 38 04 </w:t>
            </w:r>
          </w:p>
          <w:p w:rsidR="00C161AE" w:rsidRPr="00783E8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783E8D">
              <w:rPr>
                <w:rFonts w:ascii="Fira Sans" w:hAnsi="Fira Sans"/>
                <w:b/>
                <w:sz w:val="20"/>
                <w:szCs w:val="19"/>
              </w:rPr>
              <w:t>e-mail:</w:t>
            </w:r>
            <w:r w:rsidRPr="00783E8D">
              <w:rPr>
                <w:rFonts w:ascii="Fira Sans" w:hAnsi="Fira Sans"/>
                <w:sz w:val="20"/>
                <w:szCs w:val="19"/>
              </w:rPr>
              <w:t xml:space="preserve"> </w:t>
            </w:r>
            <w:hyperlink r:id="rId23" w:history="1">
              <w:r w:rsidRPr="00783E8D">
                <w:rPr>
                  <w:rStyle w:val="Hipercze"/>
                  <w:rFonts w:ascii="Fira Sans" w:hAnsi="Fira Sans"/>
                  <w:b/>
                  <w:color w:val="auto"/>
                  <w:sz w:val="20"/>
                  <w:szCs w:val="19"/>
                </w:rPr>
                <w:t>obslugaprasowa@st</w:t>
              </w:r>
              <w:bookmarkStart w:id="0" w:name="_GoBack"/>
              <w:bookmarkEnd w:id="0"/>
              <w:r w:rsidRPr="00783E8D">
                <w:rPr>
                  <w:rStyle w:val="Hipercze"/>
                  <w:rFonts w:ascii="Fira Sans" w:hAnsi="Fira Sans"/>
                  <w:b/>
                  <w:color w:val="auto"/>
                  <w:sz w:val="20"/>
                  <w:szCs w:val="19"/>
                </w:rPr>
                <w:t>at.gov.pl</w:t>
              </w:r>
            </w:hyperlink>
          </w:p>
        </w:tc>
        <w:tc>
          <w:tcPr>
            <w:tcW w:w="369" w:type="pct"/>
            <w:vAlign w:val="center"/>
          </w:tcPr>
          <w:p w:rsidR="00C161AE" w:rsidRPr="00783E8D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882E09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5104" behindDoc="0" locked="0" layoutInCell="1" allowOverlap="1" wp14:anchorId="18B30F60" wp14:editId="2861927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C161AE" w:rsidRPr="00882E09" w:rsidRDefault="007C16F5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hyperlink r:id="rId25" w:history="1">
              <w:r w:rsidR="00C161AE" w:rsidRPr="00783E8D">
                <w:rPr>
                  <w:rStyle w:val="Hipercze"/>
                  <w:rFonts w:ascii="Fira Sans" w:hAnsi="Fira Sans"/>
                  <w:color w:val="auto"/>
                  <w:sz w:val="19"/>
                  <w:szCs w:val="19"/>
                </w:rPr>
                <w:t>http://stat.gov.pl/</w:t>
              </w:r>
            </w:hyperlink>
          </w:p>
        </w:tc>
      </w:tr>
      <w:tr w:rsidR="00C161AE" w:rsidRPr="00882E09" w:rsidTr="004D46A8">
        <w:trPr>
          <w:trHeight w:val="436"/>
        </w:trPr>
        <w:tc>
          <w:tcPr>
            <w:tcW w:w="2721" w:type="pct"/>
            <w:vMerge/>
            <w:vAlign w:val="center"/>
          </w:tcPr>
          <w:p w:rsidR="00C161AE" w:rsidRPr="00882E09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161AE" w:rsidRPr="00882E09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882E09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7152" behindDoc="0" locked="0" layoutInCell="1" allowOverlap="1" wp14:anchorId="423DC397" wp14:editId="56854D3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161AE" w:rsidRPr="00882E09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882E09">
              <w:rPr>
                <w:rFonts w:ascii="Fira Sans" w:hAnsi="Fira Sans"/>
                <w:sz w:val="19"/>
                <w:szCs w:val="19"/>
              </w:rPr>
              <w:t>@GUS_STAT</w:t>
            </w:r>
          </w:p>
        </w:tc>
      </w:tr>
      <w:tr w:rsidR="00C161AE" w:rsidRPr="00882E09" w:rsidTr="004D46A8">
        <w:trPr>
          <w:trHeight w:val="436"/>
        </w:trPr>
        <w:tc>
          <w:tcPr>
            <w:tcW w:w="2721" w:type="pct"/>
            <w:vMerge/>
            <w:vAlign w:val="center"/>
          </w:tcPr>
          <w:p w:rsidR="00C161AE" w:rsidRPr="00882E09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</w:p>
        </w:tc>
        <w:tc>
          <w:tcPr>
            <w:tcW w:w="369" w:type="pct"/>
            <w:vAlign w:val="center"/>
          </w:tcPr>
          <w:p w:rsidR="00C161AE" w:rsidRPr="00882E09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882E09">
              <w:rPr>
                <w:rFonts w:ascii="Fira Sans" w:hAnsi="Fira Sans"/>
                <w:noProof/>
                <w:sz w:val="19"/>
                <w:szCs w:val="19"/>
                <w:lang w:eastAsia="pl-PL"/>
              </w:rPr>
              <w:drawing>
                <wp:anchor distT="0" distB="0" distL="114300" distR="114300" simplePos="0" relativeHeight="251696128" behindDoc="0" locked="0" layoutInCell="1" allowOverlap="1" wp14:anchorId="52EF7318" wp14:editId="471F4A3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C161AE" w:rsidRPr="00882E09" w:rsidRDefault="00C161AE" w:rsidP="00C161AE">
            <w:pPr>
              <w:spacing w:after="120"/>
              <w:jc w:val="both"/>
              <w:rPr>
                <w:rFonts w:ascii="Fira Sans" w:hAnsi="Fira Sans"/>
                <w:sz w:val="19"/>
                <w:szCs w:val="19"/>
              </w:rPr>
            </w:pPr>
            <w:r w:rsidRPr="00882E09">
              <w:rPr>
                <w:rFonts w:ascii="Fira Sans" w:hAnsi="Fira Sans"/>
                <w:sz w:val="19"/>
                <w:szCs w:val="19"/>
              </w:rPr>
              <w:t>@</w:t>
            </w:r>
            <w:proofErr w:type="spellStart"/>
            <w:r w:rsidRPr="00882E09">
              <w:rPr>
                <w:rFonts w:ascii="Fira Sans" w:hAnsi="Fira Sans"/>
                <w:sz w:val="19"/>
                <w:szCs w:val="19"/>
              </w:rPr>
              <w:t>GlownyUrzadStatystyczny</w:t>
            </w:r>
            <w:proofErr w:type="spellEnd"/>
          </w:p>
        </w:tc>
      </w:tr>
    </w:tbl>
    <w:p w:rsidR="002C3CAC" w:rsidRPr="00882E09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882E09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882E09" w:rsidRDefault="00C161AE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 w:rsidRPr="00882E09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AF839A" wp14:editId="6C589005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6559550" cy="4443095"/>
                <wp:effectExtent l="0" t="0" r="12700" b="14605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8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Gospodarka-Paliwowo-Energetyczna</w:t>
                              </w:r>
                            </w:hyperlink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Zasady-metodyczne badań statystycznych z zakresu energii ze źródeł odnawialnych</w:t>
                              </w:r>
                            </w:hyperlink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0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Zasady metodyczne sprawozdawczości statystycznej z zakresu gospodarki paliwami i energią oraz definicje stosowanych pojęć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  <w:p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1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Dziedzinowa Baza Wiedzy-Gospodarka Paliwowo Energetyczna</w:t>
                              </w:r>
                            </w:hyperlink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32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Wskaźniki makroekonomiczne</w:t>
                              </w:r>
                            </w:hyperlink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3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Bank Danych Makroekonomicznych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C161AE" w:rsidRPr="00F24DA7" w:rsidRDefault="00C161AE" w:rsidP="00C161AE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24DA7">
                              <w:rPr>
                                <w:rFonts w:ascii="Fira Sans" w:hAnsi="Fira Sans"/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4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pierwotna</w:t>
                              </w:r>
                            </w:hyperlink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Energia pochodna</w:t>
                              </w:r>
                            </w:hyperlink>
                          </w:p>
                          <w:p w:rsidR="00C161AE" w:rsidRPr="001B317F" w:rsidRDefault="007C16F5" w:rsidP="001B317F">
                            <w:pPr>
                              <w:spacing w:before="120" w:after="120" w:line="240" w:lineRule="exact"/>
                              <w:rPr>
                                <w:rFonts w:ascii="Fira Sans" w:hAnsi="Fira Sans"/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6" w:history="1">
                              <w:r w:rsidR="00C161AE" w:rsidRPr="001B317F">
                                <w:rPr>
                                  <w:rStyle w:val="Hipercze"/>
                                  <w:rFonts w:ascii="Fira Sans" w:hAnsi="Fira Sans"/>
                                  <w:color w:val="001D77"/>
                                  <w:sz w:val="18"/>
                                  <w:szCs w:val="18"/>
                                </w:rPr>
                                <w:t>Zużycie energii</w:t>
                              </w:r>
                            </w:hyperlink>
                          </w:p>
                          <w:p w:rsidR="00C161AE" w:rsidRPr="001B317F" w:rsidRDefault="00C161AE" w:rsidP="00C161AE">
                            <w:pPr>
                              <w:rPr>
                                <w:rFonts w:ascii="Fira Sans" w:hAnsi="Fira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839A" id="_x0000_s1036" type="#_x0000_t202" style="position:absolute;left:0;text-align:left;margin-left:0;margin-top:20.9pt;width:516.5pt;height:349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tNQAIAAHU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" fillcolor="#f2f2f2 [3052]" strokecolor="white [3212]">
                <v:textbox>
                  <w:txbxContent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b/>
                          <w:sz w:val="18"/>
                          <w:szCs w:val="18"/>
                        </w:rPr>
                      </w:pPr>
                    </w:p>
                    <w:p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7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Gospodarka-Paliwowo-Energetyczna</w:t>
                        </w:r>
                      </w:hyperlink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8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Zasady-metodyczne badań statystycznych z zakresu energii ze źródeł odnawialnych</w:t>
                        </w:r>
                      </w:hyperlink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39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Zasady metodyczne sprawozdawczości statystycznej z zakresu gospodarki paliwami i energią oraz definicje stosowanych pojęć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  <w:p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0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Dziedzinowa Baza Wiedzy-Gospodarka Paliwowo Energetyczna</w:t>
                        </w:r>
                      </w:hyperlink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  <w:u w:val="single"/>
                        </w:rPr>
                      </w:pPr>
                      <w:hyperlink r:id="rId41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Wskaźniki makroekonomiczne</w:t>
                        </w:r>
                      </w:hyperlink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2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Bank Danych Makroekonomicznych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C161AE" w:rsidRPr="00F24DA7" w:rsidRDefault="00C161AE" w:rsidP="00C161AE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F24DA7">
                        <w:rPr>
                          <w:rFonts w:ascii="Fira Sans" w:hAnsi="Fira Sans"/>
                          <w:b/>
                          <w:color w:val="000000" w:themeColor="text1"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3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pierwotna</w:t>
                        </w:r>
                      </w:hyperlink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4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Energia pochodna</w:t>
                        </w:r>
                      </w:hyperlink>
                    </w:p>
                    <w:p w:rsidR="00C161AE" w:rsidRPr="001B317F" w:rsidRDefault="007B1A51" w:rsidP="001B317F">
                      <w:pPr>
                        <w:spacing w:before="120" w:after="120" w:line="240" w:lineRule="exact"/>
                        <w:rPr>
                          <w:rFonts w:ascii="Fira Sans" w:hAnsi="Fira Sans"/>
                          <w:color w:val="001D77"/>
                          <w:sz w:val="18"/>
                          <w:szCs w:val="18"/>
                        </w:rPr>
                      </w:pPr>
                      <w:hyperlink r:id="rId45" w:history="1">
                        <w:r w:rsidR="00C161AE" w:rsidRPr="001B317F">
                          <w:rPr>
                            <w:rStyle w:val="Hipercze"/>
                            <w:rFonts w:ascii="Fira Sans" w:hAnsi="Fira Sans"/>
                            <w:color w:val="001D77"/>
                            <w:sz w:val="18"/>
                            <w:szCs w:val="18"/>
                          </w:rPr>
                          <w:t>Zużycie energii</w:t>
                        </w:r>
                      </w:hyperlink>
                    </w:p>
                    <w:p w:rsidR="00C161AE" w:rsidRPr="001B317F" w:rsidRDefault="00C161AE" w:rsidP="00C161AE">
                      <w:pPr>
                        <w:rPr>
                          <w:rFonts w:ascii="Fira Sans" w:hAnsi="Fira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3CAC" w:rsidRPr="00882E09" w:rsidRDefault="002C3CAC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</w:p>
    <w:p w:rsidR="002C3CAC" w:rsidRPr="00C161AE" w:rsidRDefault="005A0F27" w:rsidP="00FE5B63">
      <w:pPr>
        <w:spacing w:after="120" w:line="240" w:lineRule="auto"/>
        <w:jc w:val="both"/>
        <w:rPr>
          <w:rFonts w:ascii="Fira Sans" w:hAnsi="Fira Sans"/>
          <w:sz w:val="19"/>
          <w:szCs w:val="19"/>
          <w:lang w:val="en-GB"/>
        </w:rPr>
      </w:pPr>
      <w:r w:rsidRPr="00882E09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5103571</wp:posOffset>
                </wp:positionH>
                <wp:positionV relativeFrom="paragraph">
                  <wp:posOffset>1031875</wp:posOffset>
                </wp:positionV>
                <wp:extent cx="2051914" cy="636423"/>
                <wp:effectExtent l="0" t="0" r="5715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914" cy="6364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115DF" id="Prostokąt 8" o:spid="_x0000_s1026" style="position:absolute;margin-left:401.85pt;margin-top:81.25pt;width:161.55pt;height:50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" fillcolor="white [3201]" stroked="f" strokeweight="1pt"/>
            </w:pict>
          </mc:Fallback>
        </mc:AlternateContent>
      </w:r>
    </w:p>
    <w:sectPr w:rsidR="002C3CAC" w:rsidRPr="00C161AE" w:rsidSect="00726FDA">
      <w:headerReference w:type="default" r:id="rId46"/>
      <w:pgSz w:w="11906" w:h="16838" w:code="9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F5" w:rsidRDefault="007C16F5" w:rsidP="00AB4C33">
      <w:pPr>
        <w:spacing w:after="0" w:line="240" w:lineRule="auto"/>
      </w:pPr>
      <w:r>
        <w:separator/>
      </w:r>
    </w:p>
  </w:endnote>
  <w:endnote w:type="continuationSeparator" w:id="0">
    <w:p w:rsidR="007C16F5" w:rsidRDefault="007C16F5" w:rsidP="00AB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207629"/>
      <w:docPartObj>
        <w:docPartGallery w:val="Page Numbers (Bottom of Page)"/>
        <w:docPartUnique/>
      </w:docPartObj>
    </w:sdtPr>
    <w:sdtEndPr/>
    <w:sdtContent>
      <w:p w:rsidR="00AB4C33" w:rsidRDefault="00AB4C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8D">
          <w:rPr>
            <w:noProof/>
          </w:rPr>
          <w:t>5</w:t>
        </w:r>
        <w:r>
          <w:fldChar w:fldCharType="end"/>
        </w:r>
      </w:p>
    </w:sdtContent>
  </w:sdt>
  <w:p w:rsidR="00AB4C33" w:rsidRDefault="00AB4C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F5" w:rsidRDefault="007C16F5" w:rsidP="00AB4C33">
      <w:pPr>
        <w:spacing w:after="0" w:line="240" w:lineRule="auto"/>
      </w:pPr>
      <w:r>
        <w:separator/>
      </w:r>
    </w:p>
  </w:footnote>
  <w:footnote w:type="continuationSeparator" w:id="0">
    <w:p w:rsidR="007C16F5" w:rsidRDefault="007C16F5" w:rsidP="00AB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495" w:rsidRDefault="00726FDA">
    <w:pPr>
      <w:pStyle w:val="Nagwek"/>
      <w:rPr>
        <w:noProof/>
        <w:lang w:eastAsia="pl-PL"/>
      </w:rPr>
    </w:pPr>
    <w:r w:rsidRPr="00AD15BA">
      <w:rPr>
        <w:rFonts w:ascii="Fira Sans" w:hAnsi="Fira Sans"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5688330</wp:posOffset>
              </wp:positionH>
              <wp:positionV relativeFrom="topMargin">
                <wp:posOffset>-10210800</wp:posOffset>
              </wp:positionV>
              <wp:extent cx="1872000" cy="20880000"/>
              <wp:effectExtent l="0" t="0" r="0" b="0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AB4C33" w:rsidRDefault="00AB4C3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36" type="#_x0000_t202" style="position:absolute;margin-left:447.9pt;margin-top:-804pt;width:147.4pt;height:164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" o:allowincell="f" fillcolor="#f2f2f2" stroked="f">
              <v:textbox inset=",0,,0">
                <w:txbxContent>
                  <w:p w:rsidR="00AB4C33" w:rsidRDefault="00AB4C3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:rsidR="00AB4C33" w:rsidRPr="00AD15BA" w:rsidRDefault="00AB4C33">
    <w:pPr>
      <w:pStyle w:val="Nagwek"/>
      <w:rPr>
        <w:rFonts w:ascii="Fira Sans" w:hAnsi="Fira Sans"/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0A" w:rsidRDefault="00726F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5707726</wp:posOffset>
              </wp:positionH>
              <wp:positionV relativeFrom="topMargin">
                <wp:posOffset>164391</wp:posOffset>
              </wp:positionV>
              <wp:extent cx="1872000" cy="20880000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000" cy="20880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txbx>
                      <w:txbxContent>
                        <w:p w:rsidR="00F00495" w:rsidRDefault="00F0049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83E8D" w:rsidRPr="00783E8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37" type="#_x0000_t202" style="position:absolute;margin-left:449.45pt;margin-top:12.95pt;width:147.4pt;height:164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" o:allowincell="f" fillcolor="#f2f2f2" stroked="f">
              <v:textbox inset=",0,,0">
                <w:txbxContent>
                  <w:p w:rsidR="00F00495" w:rsidRDefault="00F0049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83E8D" w:rsidRPr="00783E8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CF790A" w:rsidRDefault="00CF790A">
    <w:pPr>
      <w:pStyle w:val="Nagwek"/>
    </w:pPr>
  </w:p>
  <w:p w:rsidR="00CF790A" w:rsidRDefault="00CF790A">
    <w:pPr>
      <w:pStyle w:val="Nagwek"/>
    </w:pPr>
  </w:p>
  <w:p w:rsidR="00F00495" w:rsidRDefault="00F0049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4750</wp:posOffset>
              </wp:positionV>
              <wp:extent cx="5943600" cy="173736"/>
              <wp:effectExtent l="0" t="0" r="0" b="0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495" w:rsidRDefault="00F00495" w:rsidP="00F0049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ADDA5D2" wp14:editId="742F1A70">
                                <wp:extent cx="1153274" cy="720000"/>
                                <wp:effectExtent l="0" t="0" r="0" b="4445"/>
                                <wp:docPr id="23" name="Obraz 23" descr="logog-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g-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3274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20" o:spid="_x0000_s1038" type="#_x0000_t202" style="position:absolute;margin-left:0;margin-top:.35pt;width:468pt;height:13.7pt;z-index:25166233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FgvAIAAMM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" o:allowincell="f" filled="f" stroked="f">
              <v:textbox style="mso-fit-shape-to-text:t" inset=",0,,0">
                <w:txbxContent>
                  <w:p w:rsidR="00F00495" w:rsidRDefault="00F00495" w:rsidP="00F00495">
                    <w:pPr>
                      <w:spacing w:after="0" w:line="240" w:lineRule="auto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ADDA5D2" wp14:editId="742F1A70">
                          <wp:extent cx="1153274" cy="720000"/>
                          <wp:effectExtent l="0" t="0" r="0" b="4445"/>
                          <wp:docPr id="23" name="Obraz 23" descr="logog-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g-0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3274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FDA" w:rsidRDefault="00726FDA">
    <w:pPr>
      <w:pStyle w:val="Nagwek"/>
      <w:rPr>
        <w:noProof/>
        <w:lang w:eastAsia="pl-PL"/>
      </w:rPr>
    </w:pPr>
  </w:p>
  <w:p w:rsidR="00726FDA" w:rsidRPr="00AD15BA" w:rsidRDefault="00726FDA">
    <w:pPr>
      <w:pStyle w:val="Nagwek"/>
      <w:rPr>
        <w:rFonts w:ascii="Fira Sans" w:hAnsi="Fira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C53C8"/>
    <w:multiLevelType w:val="hybridMultilevel"/>
    <w:tmpl w:val="12C0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B42B7"/>
    <w:multiLevelType w:val="hybridMultilevel"/>
    <w:tmpl w:val="54C683D6"/>
    <w:lvl w:ilvl="0" w:tplc="4F1A040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EA"/>
    <w:rsid w:val="00000EB5"/>
    <w:rsid w:val="00005A39"/>
    <w:rsid w:val="000206F7"/>
    <w:rsid w:val="000328CE"/>
    <w:rsid w:val="0003746F"/>
    <w:rsid w:val="00043371"/>
    <w:rsid w:val="00043652"/>
    <w:rsid w:val="000438E2"/>
    <w:rsid w:val="00043C57"/>
    <w:rsid w:val="00044486"/>
    <w:rsid w:val="0005094A"/>
    <w:rsid w:val="0005158E"/>
    <w:rsid w:val="0005237D"/>
    <w:rsid w:val="00053271"/>
    <w:rsid w:val="000538ED"/>
    <w:rsid w:val="000545D4"/>
    <w:rsid w:val="00054B06"/>
    <w:rsid w:val="00066C05"/>
    <w:rsid w:val="00071D24"/>
    <w:rsid w:val="00081B5E"/>
    <w:rsid w:val="000840DD"/>
    <w:rsid w:val="0009276C"/>
    <w:rsid w:val="000A576B"/>
    <w:rsid w:val="000B241E"/>
    <w:rsid w:val="000C10E9"/>
    <w:rsid w:val="000C5380"/>
    <w:rsid w:val="000E34E8"/>
    <w:rsid w:val="000E55F4"/>
    <w:rsid w:val="000F44CB"/>
    <w:rsid w:val="001045B9"/>
    <w:rsid w:val="00105B12"/>
    <w:rsid w:val="00107F69"/>
    <w:rsid w:val="00125A82"/>
    <w:rsid w:val="0012603C"/>
    <w:rsid w:val="00130EBC"/>
    <w:rsid w:val="00150952"/>
    <w:rsid w:val="00173928"/>
    <w:rsid w:val="001740FA"/>
    <w:rsid w:val="00175FD8"/>
    <w:rsid w:val="00185857"/>
    <w:rsid w:val="00186E5E"/>
    <w:rsid w:val="001879AC"/>
    <w:rsid w:val="001902BB"/>
    <w:rsid w:val="00191820"/>
    <w:rsid w:val="001A20A3"/>
    <w:rsid w:val="001B317F"/>
    <w:rsid w:val="001B578C"/>
    <w:rsid w:val="001C22E2"/>
    <w:rsid w:val="001C625C"/>
    <w:rsid w:val="001D2581"/>
    <w:rsid w:val="001D43F6"/>
    <w:rsid w:val="001E03DF"/>
    <w:rsid w:val="001E4031"/>
    <w:rsid w:val="001E5ABB"/>
    <w:rsid w:val="001E6628"/>
    <w:rsid w:val="001F0FB5"/>
    <w:rsid w:val="001F2CCC"/>
    <w:rsid w:val="001F3ECC"/>
    <w:rsid w:val="001F76C7"/>
    <w:rsid w:val="002071FB"/>
    <w:rsid w:val="00212EBC"/>
    <w:rsid w:val="0022339F"/>
    <w:rsid w:val="00231E99"/>
    <w:rsid w:val="00231EC9"/>
    <w:rsid w:val="00240A55"/>
    <w:rsid w:val="00247A58"/>
    <w:rsid w:val="00250618"/>
    <w:rsid w:val="00252D51"/>
    <w:rsid w:val="00253B9A"/>
    <w:rsid w:val="00257D77"/>
    <w:rsid w:val="00260185"/>
    <w:rsid w:val="0026233F"/>
    <w:rsid w:val="00263CF9"/>
    <w:rsid w:val="0026687E"/>
    <w:rsid w:val="00277C61"/>
    <w:rsid w:val="002812E3"/>
    <w:rsid w:val="00290878"/>
    <w:rsid w:val="00292FB1"/>
    <w:rsid w:val="00295783"/>
    <w:rsid w:val="002A7FC4"/>
    <w:rsid w:val="002B5638"/>
    <w:rsid w:val="002B6E42"/>
    <w:rsid w:val="002B7B0E"/>
    <w:rsid w:val="002C23D0"/>
    <w:rsid w:val="002C3CAC"/>
    <w:rsid w:val="002D15B8"/>
    <w:rsid w:val="002D21C6"/>
    <w:rsid w:val="002E4E81"/>
    <w:rsid w:val="002F13BC"/>
    <w:rsid w:val="002F5393"/>
    <w:rsid w:val="00302883"/>
    <w:rsid w:val="00320D98"/>
    <w:rsid w:val="003228A7"/>
    <w:rsid w:val="003311E5"/>
    <w:rsid w:val="003322B4"/>
    <w:rsid w:val="00332C05"/>
    <w:rsid w:val="003333BF"/>
    <w:rsid w:val="00337E45"/>
    <w:rsid w:val="0034410F"/>
    <w:rsid w:val="0034546A"/>
    <w:rsid w:val="003534F0"/>
    <w:rsid w:val="00360C41"/>
    <w:rsid w:val="00367412"/>
    <w:rsid w:val="00367DD4"/>
    <w:rsid w:val="00371189"/>
    <w:rsid w:val="00375E2B"/>
    <w:rsid w:val="003808F3"/>
    <w:rsid w:val="00381338"/>
    <w:rsid w:val="00391437"/>
    <w:rsid w:val="003945F4"/>
    <w:rsid w:val="003A3897"/>
    <w:rsid w:val="003A44BC"/>
    <w:rsid w:val="003A5AC3"/>
    <w:rsid w:val="003B006B"/>
    <w:rsid w:val="003C3038"/>
    <w:rsid w:val="003C49AA"/>
    <w:rsid w:val="003D1BAA"/>
    <w:rsid w:val="003E2086"/>
    <w:rsid w:val="003E60B7"/>
    <w:rsid w:val="00400C9F"/>
    <w:rsid w:val="00403F64"/>
    <w:rsid w:val="00411D1F"/>
    <w:rsid w:val="0042271D"/>
    <w:rsid w:val="004236A7"/>
    <w:rsid w:val="0042476B"/>
    <w:rsid w:val="004269BE"/>
    <w:rsid w:val="00430A6E"/>
    <w:rsid w:val="00431C4B"/>
    <w:rsid w:val="004349BA"/>
    <w:rsid w:val="00436CFB"/>
    <w:rsid w:val="00442E37"/>
    <w:rsid w:val="00443827"/>
    <w:rsid w:val="00452880"/>
    <w:rsid w:val="004561F0"/>
    <w:rsid w:val="00461EFD"/>
    <w:rsid w:val="00471BF5"/>
    <w:rsid w:val="00472A89"/>
    <w:rsid w:val="004813E2"/>
    <w:rsid w:val="0048614D"/>
    <w:rsid w:val="00490512"/>
    <w:rsid w:val="00491479"/>
    <w:rsid w:val="00494E70"/>
    <w:rsid w:val="004A3959"/>
    <w:rsid w:val="004B2822"/>
    <w:rsid w:val="004C09E0"/>
    <w:rsid w:val="004D496F"/>
    <w:rsid w:val="004E2883"/>
    <w:rsid w:val="004F3B01"/>
    <w:rsid w:val="004F7ABF"/>
    <w:rsid w:val="00504E25"/>
    <w:rsid w:val="00521949"/>
    <w:rsid w:val="0053013B"/>
    <w:rsid w:val="005332FA"/>
    <w:rsid w:val="005370DE"/>
    <w:rsid w:val="005435F6"/>
    <w:rsid w:val="00545DC7"/>
    <w:rsid w:val="00546B8A"/>
    <w:rsid w:val="005471DE"/>
    <w:rsid w:val="00555F98"/>
    <w:rsid w:val="00557264"/>
    <w:rsid w:val="00560824"/>
    <w:rsid w:val="0057099E"/>
    <w:rsid w:val="00586274"/>
    <w:rsid w:val="00590F7A"/>
    <w:rsid w:val="00592CA4"/>
    <w:rsid w:val="005960E3"/>
    <w:rsid w:val="0059624A"/>
    <w:rsid w:val="005A0943"/>
    <w:rsid w:val="005A0F27"/>
    <w:rsid w:val="005A6152"/>
    <w:rsid w:val="005B706D"/>
    <w:rsid w:val="005B73B9"/>
    <w:rsid w:val="005B7E3D"/>
    <w:rsid w:val="005C2DFC"/>
    <w:rsid w:val="005C6F54"/>
    <w:rsid w:val="005D0517"/>
    <w:rsid w:val="005D40A2"/>
    <w:rsid w:val="005D7978"/>
    <w:rsid w:val="005E00DE"/>
    <w:rsid w:val="005F4304"/>
    <w:rsid w:val="00602E54"/>
    <w:rsid w:val="00612045"/>
    <w:rsid w:val="006158A8"/>
    <w:rsid w:val="00624195"/>
    <w:rsid w:val="00624348"/>
    <w:rsid w:val="00626498"/>
    <w:rsid w:val="0062718D"/>
    <w:rsid w:val="00630AAC"/>
    <w:rsid w:val="0063263B"/>
    <w:rsid w:val="00642D53"/>
    <w:rsid w:val="00643662"/>
    <w:rsid w:val="00644073"/>
    <w:rsid w:val="00645D5C"/>
    <w:rsid w:val="00650B09"/>
    <w:rsid w:val="00660656"/>
    <w:rsid w:val="00664587"/>
    <w:rsid w:val="00665917"/>
    <w:rsid w:val="00671163"/>
    <w:rsid w:val="006800B5"/>
    <w:rsid w:val="00686992"/>
    <w:rsid w:val="00691AAD"/>
    <w:rsid w:val="00696154"/>
    <w:rsid w:val="006A0635"/>
    <w:rsid w:val="006A07A4"/>
    <w:rsid w:val="006A2252"/>
    <w:rsid w:val="006C243F"/>
    <w:rsid w:val="006C5396"/>
    <w:rsid w:val="006C75F8"/>
    <w:rsid w:val="006D2D5D"/>
    <w:rsid w:val="006D51DE"/>
    <w:rsid w:val="006E4F43"/>
    <w:rsid w:val="006E7F0B"/>
    <w:rsid w:val="006F3213"/>
    <w:rsid w:val="006F457C"/>
    <w:rsid w:val="006F58EC"/>
    <w:rsid w:val="007031EE"/>
    <w:rsid w:val="007038B4"/>
    <w:rsid w:val="00703B0C"/>
    <w:rsid w:val="0070653C"/>
    <w:rsid w:val="00713DBC"/>
    <w:rsid w:val="00725140"/>
    <w:rsid w:val="00725B71"/>
    <w:rsid w:val="00726FDA"/>
    <w:rsid w:val="00727DCD"/>
    <w:rsid w:val="007443E6"/>
    <w:rsid w:val="0074618E"/>
    <w:rsid w:val="0076068E"/>
    <w:rsid w:val="00764DB5"/>
    <w:rsid w:val="0078022D"/>
    <w:rsid w:val="00783E8D"/>
    <w:rsid w:val="00791594"/>
    <w:rsid w:val="007A2D5A"/>
    <w:rsid w:val="007A6988"/>
    <w:rsid w:val="007B1A51"/>
    <w:rsid w:val="007B1AAF"/>
    <w:rsid w:val="007B64AA"/>
    <w:rsid w:val="007C16F5"/>
    <w:rsid w:val="007C7942"/>
    <w:rsid w:val="007D3246"/>
    <w:rsid w:val="007E54B1"/>
    <w:rsid w:val="007E5E5D"/>
    <w:rsid w:val="007E745B"/>
    <w:rsid w:val="007E7FD7"/>
    <w:rsid w:val="007F0826"/>
    <w:rsid w:val="007F1FF3"/>
    <w:rsid w:val="00817EAC"/>
    <w:rsid w:val="008312F1"/>
    <w:rsid w:val="008377FB"/>
    <w:rsid w:val="008413E8"/>
    <w:rsid w:val="008434E4"/>
    <w:rsid w:val="008462AC"/>
    <w:rsid w:val="00851312"/>
    <w:rsid w:val="008554B1"/>
    <w:rsid w:val="008643F8"/>
    <w:rsid w:val="008737B4"/>
    <w:rsid w:val="00874785"/>
    <w:rsid w:val="00881100"/>
    <w:rsid w:val="00882E09"/>
    <w:rsid w:val="00892421"/>
    <w:rsid w:val="008A18A7"/>
    <w:rsid w:val="008B5439"/>
    <w:rsid w:val="008B7817"/>
    <w:rsid w:val="008C5BEB"/>
    <w:rsid w:val="008C7398"/>
    <w:rsid w:val="008D20A6"/>
    <w:rsid w:val="008D3785"/>
    <w:rsid w:val="008E04D4"/>
    <w:rsid w:val="008E66C4"/>
    <w:rsid w:val="008F13F1"/>
    <w:rsid w:val="008F5911"/>
    <w:rsid w:val="00900398"/>
    <w:rsid w:val="00902441"/>
    <w:rsid w:val="00903F24"/>
    <w:rsid w:val="009058AB"/>
    <w:rsid w:val="009115B1"/>
    <w:rsid w:val="00911FF6"/>
    <w:rsid w:val="00917EAB"/>
    <w:rsid w:val="00921BEA"/>
    <w:rsid w:val="0092413E"/>
    <w:rsid w:val="0092615B"/>
    <w:rsid w:val="00942528"/>
    <w:rsid w:val="00943C98"/>
    <w:rsid w:val="009513B3"/>
    <w:rsid w:val="009551E0"/>
    <w:rsid w:val="00955AFE"/>
    <w:rsid w:val="009565D9"/>
    <w:rsid w:val="00957E96"/>
    <w:rsid w:val="00963D95"/>
    <w:rsid w:val="00966699"/>
    <w:rsid w:val="00966C80"/>
    <w:rsid w:val="0097232D"/>
    <w:rsid w:val="009875AB"/>
    <w:rsid w:val="00997E42"/>
    <w:rsid w:val="009A2539"/>
    <w:rsid w:val="009B64AA"/>
    <w:rsid w:val="009C242D"/>
    <w:rsid w:val="009C2AE7"/>
    <w:rsid w:val="009C34D0"/>
    <w:rsid w:val="009C4BE3"/>
    <w:rsid w:val="009C4C8B"/>
    <w:rsid w:val="009D789D"/>
    <w:rsid w:val="009E17D4"/>
    <w:rsid w:val="009E1ABC"/>
    <w:rsid w:val="009F388F"/>
    <w:rsid w:val="00A00978"/>
    <w:rsid w:val="00A1107A"/>
    <w:rsid w:val="00A261E4"/>
    <w:rsid w:val="00A3113E"/>
    <w:rsid w:val="00A320C9"/>
    <w:rsid w:val="00A32B42"/>
    <w:rsid w:val="00A40CBE"/>
    <w:rsid w:val="00A419F6"/>
    <w:rsid w:val="00A434D8"/>
    <w:rsid w:val="00A43ED5"/>
    <w:rsid w:val="00A51977"/>
    <w:rsid w:val="00A520F8"/>
    <w:rsid w:val="00A558AF"/>
    <w:rsid w:val="00A57FA1"/>
    <w:rsid w:val="00A60376"/>
    <w:rsid w:val="00A67D2C"/>
    <w:rsid w:val="00A72D79"/>
    <w:rsid w:val="00A77BC1"/>
    <w:rsid w:val="00A77C42"/>
    <w:rsid w:val="00A832DF"/>
    <w:rsid w:val="00A85DC5"/>
    <w:rsid w:val="00A86EB4"/>
    <w:rsid w:val="00A96421"/>
    <w:rsid w:val="00AA071A"/>
    <w:rsid w:val="00AB4C33"/>
    <w:rsid w:val="00AB4F00"/>
    <w:rsid w:val="00AC372D"/>
    <w:rsid w:val="00AC4E7A"/>
    <w:rsid w:val="00AC620A"/>
    <w:rsid w:val="00AD0D1D"/>
    <w:rsid w:val="00AD15BA"/>
    <w:rsid w:val="00AD2084"/>
    <w:rsid w:val="00AD6B92"/>
    <w:rsid w:val="00AE53E6"/>
    <w:rsid w:val="00AF0EF1"/>
    <w:rsid w:val="00AF1117"/>
    <w:rsid w:val="00AF111D"/>
    <w:rsid w:val="00AF5491"/>
    <w:rsid w:val="00AF5952"/>
    <w:rsid w:val="00B0091B"/>
    <w:rsid w:val="00B02B96"/>
    <w:rsid w:val="00B03389"/>
    <w:rsid w:val="00B04160"/>
    <w:rsid w:val="00B059F5"/>
    <w:rsid w:val="00B10969"/>
    <w:rsid w:val="00B22E3D"/>
    <w:rsid w:val="00B375FC"/>
    <w:rsid w:val="00B41AEF"/>
    <w:rsid w:val="00B467BA"/>
    <w:rsid w:val="00B47998"/>
    <w:rsid w:val="00B53CA8"/>
    <w:rsid w:val="00B65852"/>
    <w:rsid w:val="00B71AAD"/>
    <w:rsid w:val="00B84456"/>
    <w:rsid w:val="00B85843"/>
    <w:rsid w:val="00B9335C"/>
    <w:rsid w:val="00B934DB"/>
    <w:rsid w:val="00B94619"/>
    <w:rsid w:val="00B96EA4"/>
    <w:rsid w:val="00BA127A"/>
    <w:rsid w:val="00BA1CAE"/>
    <w:rsid w:val="00BC6C2B"/>
    <w:rsid w:val="00BC78F6"/>
    <w:rsid w:val="00BD63EC"/>
    <w:rsid w:val="00BE0E71"/>
    <w:rsid w:val="00BF38AD"/>
    <w:rsid w:val="00C026B4"/>
    <w:rsid w:val="00C03E06"/>
    <w:rsid w:val="00C157CC"/>
    <w:rsid w:val="00C160A5"/>
    <w:rsid w:val="00C161AE"/>
    <w:rsid w:val="00C173ED"/>
    <w:rsid w:val="00C17E47"/>
    <w:rsid w:val="00C310BC"/>
    <w:rsid w:val="00C33C3B"/>
    <w:rsid w:val="00C417D0"/>
    <w:rsid w:val="00C449C0"/>
    <w:rsid w:val="00C600C8"/>
    <w:rsid w:val="00C72A2D"/>
    <w:rsid w:val="00C82A52"/>
    <w:rsid w:val="00C87A96"/>
    <w:rsid w:val="00C91CD6"/>
    <w:rsid w:val="00C9459D"/>
    <w:rsid w:val="00C9507A"/>
    <w:rsid w:val="00CA6F21"/>
    <w:rsid w:val="00CB6834"/>
    <w:rsid w:val="00CC5F96"/>
    <w:rsid w:val="00CF023F"/>
    <w:rsid w:val="00CF1601"/>
    <w:rsid w:val="00CF5148"/>
    <w:rsid w:val="00CF6C0C"/>
    <w:rsid w:val="00CF790A"/>
    <w:rsid w:val="00CF7B34"/>
    <w:rsid w:val="00D009E3"/>
    <w:rsid w:val="00D057C7"/>
    <w:rsid w:val="00D10A50"/>
    <w:rsid w:val="00D168F4"/>
    <w:rsid w:val="00D1695F"/>
    <w:rsid w:val="00D2421E"/>
    <w:rsid w:val="00D26392"/>
    <w:rsid w:val="00D34CDA"/>
    <w:rsid w:val="00D41EE5"/>
    <w:rsid w:val="00D458C6"/>
    <w:rsid w:val="00D51D95"/>
    <w:rsid w:val="00D531ED"/>
    <w:rsid w:val="00D53C94"/>
    <w:rsid w:val="00D60E05"/>
    <w:rsid w:val="00D619D0"/>
    <w:rsid w:val="00D802F0"/>
    <w:rsid w:val="00D81EB6"/>
    <w:rsid w:val="00D85CAC"/>
    <w:rsid w:val="00D87034"/>
    <w:rsid w:val="00D87CD8"/>
    <w:rsid w:val="00D92727"/>
    <w:rsid w:val="00D9602C"/>
    <w:rsid w:val="00D97A2D"/>
    <w:rsid w:val="00DB324A"/>
    <w:rsid w:val="00DB6CF6"/>
    <w:rsid w:val="00DC128E"/>
    <w:rsid w:val="00DC378E"/>
    <w:rsid w:val="00DC72ED"/>
    <w:rsid w:val="00DC751E"/>
    <w:rsid w:val="00DD2E27"/>
    <w:rsid w:val="00DD5613"/>
    <w:rsid w:val="00DD57D5"/>
    <w:rsid w:val="00DD5F1B"/>
    <w:rsid w:val="00DD77C4"/>
    <w:rsid w:val="00DE02A6"/>
    <w:rsid w:val="00DF3088"/>
    <w:rsid w:val="00DF57E9"/>
    <w:rsid w:val="00DF7C78"/>
    <w:rsid w:val="00E047CC"/>
    <w:rsid w:val="00E0540D"/>
    <w:rsid w:val="00E06DEC"/>
    <w:rsid w:val="00E25D76"/>
    <w:rsid w:val="00E45E87"/>
    <w:rsid w:val="00E507B7"/>
    <w:rsid w:val="00E51806"/>
    <w:rsid w:val="00E62A27"/>
    <w:rsid w:val="00E62C01"/>
    <w:rsid w:val="00E643CF"/>
    <w:rsid w:val="00E80888"/>
    <w:rsid w:val="00E809EB"/>
    <w:rsid w:val="00E81699"/>
    <w:rsid w:val="00E81A46"/>
    <w:rsid w:val="00E83915"/>
    <w:rsid w:val="00E84310"/>
    <w:rsid w:val="00E8483F"/>
    <w:rsid w:val="00E9253E"/>
    <w:rsid w:val="00E92D97"/>
    <w:rsid w:val="00E9699E"/>
    <w:rsid w:val="00EA4C70"/>
    <w:rsid w:val="00EC0FF3"/>
    <w:rsid w:val="00EC4C74"/>
    <w:rsid w:val="00ED02BF"/>
    <w:rsid w:val="00ED3921"/>
    <w:rsid w:val="00ED44AE"/>
    <w:rsid w:val="00EE0182"/>
    <w:rsid w:val="00EE66B0"/>
    <w:rsid w:val="00EE6F90"/>
    <w:rsid w:val="00EF5722"/>
    <w:rsid w:val="00F00495"/>
    <w:rsid w:val="00F20F64"/>
    <w:rsid w:val="00F22DDF"/>
    <w:rsid w:val="00F24DA7"/>
    <w:rsid w:val="00F2541C"/>
    <w:rsid w:val="00F25A2F"/>
    <w:rsid w:val="00F30779"/>
    <w:rsid w:val="00F30B14"/>
    <w:rsid w:val="00F36800"/>
    <w:rsid w:val="00F411C8"/>
    <w:rsid w:val="00F43C6C"/>
    <w:rsid w:val="00F549B4"/>
    <w:rsid w:val="00F570EB"/>
    <w:rsid w:val="00F64D69"/>
    <w:rsid w:val="00F669AA"/>
    <w:rsid w:val="00F67B3A"/>
    <w:rsid w:val="00F71138"/>
    <w:rsid w:val="00F71158"/>
    <w:rsid w:val="00F7685C"/>
    <w:rsid w:val="00F87FD9"/>
    <w:rsid w:val="00F915EB"/>
    <w:rsid w:val="00FA24DA"/>
    <w:rsid w:val="00FA41A1"/>
    <w:rsid w:val="00FC3E29"/>
    <w:rsid w:val="00FC4ABA"/>
    <w:rsid w:val="00FE5B63"/>
    <w:rsid w:val="00FE7429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9BE5C3-F9A2-4D25-BD6F-4DA90A2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C33"/>
  </w:style>
  <w:style w:type="paragraph" w:styleId="Stopka">
    <w:name w:val="footer"/>
    <w:basedOn w:val="Normalny"/>
    <w:link w:val="StopkaZnak"/>
    <w:uiPriority w:val="99"/>
    <w:unhideWhenUsed/>
    <w:rsid w:val="00AB4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C33"/>
  </w:style>
  <w:style w:type="paragraph" w:customStyle="1" w:styleId="LID">
    <w:name w:val="LID"/>
    <w:basedOn w:val="Normalny"/>
    <w:qFormat/>
    <w:rsid w:val="00AD15BA"/>
    <w:pPr>
      <w:spacing w:before="120" w:after="120" w:line="240" w:lineRule="exact"/>
    </w:pPr>
    <w:rPr>
      <w:rFonts w:ascii="Fira Sans" w:hAnsi="Fira Sans"/>
      <w:b/>
      <w:noProof/>
      <w:sz w:val="19"/>
      <w:szCs w:val="19"/>
      <w:lang w:eastAsia="pl-PL"/>
    </w:rPr>
  </w:style>
  <w:style w:type="paragraph" w:customStyle="1" w:styleId="tekstzboku">
    <w:name w:val="tekst z boku"/>
    <w:basedOn w:val="Normalny"/>
    <w:qFormat/>
    <w:rsid w:val="00AD15BA"/>
    <w:pPr>
      <w:spacing w:before="120" w:after="0" w:line="240" w:lineRule="exact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ekstnaniebieskimtle">
    <w:name w:val="tekst na niebieskim tle"/>
    <w:basedOn w:val="Normalny"/>
    <w:qFormat/>
    <w:rsid w:val="00AD15BA"/>
    <w:pPr>
      <w:spacing w:after="0" w:line="240" w:lineRule="auto"/>
    </w:pPr>
    <w:rPr>
      <w:rFonts w:ascii="Fira Sans" w:hAnsi="Fira Sans"/>
      <w:sz w:val="20"/>
    </w:rPr>
  </w:style>
  <w:style w:type="paragraph" w:customStyle="1" w:styleId="tytuinformacji">
    <w:name w:val="tytuł informacji"/>
    <w:basedOn w:val="Normalny"/>
    <w:rsid w:val="00AD15BA"/>
    <w:pPr>
      <w:spacing w:before="120"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94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7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161A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26" Type="http://schemas.openxmlformats.org/officeDocument/2006/relationships/image" Target="media/image4.png"/><Relationship Id="rId39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21" Type="http://schemas.openxmlformats.org/officeDocument/2006/relationships/hyperlink" Target="mailto:A.Jurgas@stat.gov.pl" TargetMode="External"/><Relationship Id="rId34" Type="http://schemas.openxmlformats.org/officeDocument/2006/relationships/hyperlink" Target="http://stat.gov.pl/metainformacje/slownik-pojec/pojecia-stosowane-w-statystyce-publicznej/93,pojecie.html" TargetMode="External"/><Relationship Id="rId42" Type="http://schemas.openxmlformats.org/officeDocument/2006/relationships/hyperlink" Target="http://bdm.stat.gov.pl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9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image" Target="media/image3.png"/><Relationship Id="rId32" Type="http://schemas.openxmlformats.org/officeDocument/2006/relationships/hyperlink" Target="http://stat.gov.pl/wskazniki-makroekonomiczne/" TargetMode="External"/><Relationship Id="rId37" Type="http://schemas.openxmlformats.org/officeDocument/2006/relationships/hyperlink" Target="http://stat.gov.pl/obszary-tematyczne/srodowisko-energia/energia/gospodarka-paliwowo-energetyczna-w-latach-2015-i-2016,4,12.html" TargetMode="External"/><Relationship Id="rId40" Type="http://schemas.openxmlformats.org/officeDocument/2006/relationships/hyperlink" Target="http://swaid.stat.gov.pl/SitePagesDBW/GospodarkaPaliwowoEn.aspx" TargetMode="External"/><Relationship Id="rId45" Type="http://schemas.openxmlformats.org/officeDocument/2006/relationships/hyperlink" Target="http://stat.gov.pl/metainformacje/slownik-pojec/pojecia-stosowane-w-statystyce-publicznej/672,pojecie.html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hyperlink" Target="mailto:obslugaprasowa@stat.gov.pl" TargetMode="External"/><Relationship Id="rId28" Type="http://schemas.openxmlformats.org/officeDocument/2006/relationships/hyperlink" Target="http://stat.gov.pl/obszary-tematyczne/srodowisko-energia/energia/gospodarka-paliwowo-energetyczna-w-latach-2015-i-2016,4,12.html" TargetMode="External"/><Relationship Id="rId36" Type="http://schemas.openxmlformats.org/officeDocument/2006/relationships/hyperlink" Target="http://stat.gov.pl/metainformacje/slownik-pojec/pojecia-stosowane-w-statystyce-publicznej/672,pojecie.html" TargetMode="Externa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31" Type="http://schemas.openxmlformats.org/officeDocument/2006/relationships/hyperlink" Target="http://swaid.stat.gov.pl/SitePagesDBW/GospodarkaPaliwowoEn.aspx" TargetMode="External"/><Relationship Id="rId44" Type="http://schemas.openxmlformats.org/officeDocument/2006/relationships/hyperlink" Target="http://stat.gov.pl/metainformacje/slownik-pojec/pojecia-stosowane-w-statystyce-publicznej/94,pojecie.html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mailto:rzecznik@stat.gov.pl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stat.gov.pl/obszary-tematyczne/srodowisko-energia/energia/zasady-metodyczne-sprawozdawczosci-statystycznej-z-zakresu-gospodarki-paliwami-i-energia-oraz-definicje-stosowanych-pojec,7,1.html" TargetMode="External"/><Relationship Id="rId35" Type="http://schemas.openxmlformats.org/officeDocument/2006/relationships/hyperlink" Target="http://stat.gov.pl/metainformacje/slownik-pojec/pojecia-stosowane-w-statystyce-publicznej/94,pojecie.html" TargetMode="External"/><Relationship Id="rId43" Type="http://schemas.openxmlformats.org/officeDocument/2006/relationships/hyperlink" Target="http://stat.gov.pl/metainformacje/slownik-pojec/pojecia-stosowane-w-statystyce-publicznej/93,pojecie.html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stat.gov.pl/" TargetMode="External"/><Relationship Id="rId33" Type="http://schemas.openxmlformats.org/officeDocument/2006/relationships/hyperlink" Target="http://bdm.stat.gov.pl/" TargetMode="External"/><Relationship Id="rId38" Type="http://schemas.openxmlformats.org/officeDocument/2006/relationships/hyperlink" Target="http://stat.gov.pl/obszary-tematyczne/srodowisko-energia/energia/zasady-metodyczne-badan-statystycznych-z-zakresu-energii-ze-zrodel-odnawialnych,8,1.html" TargetMode="External"/><Relationship Id="rId46" Type="http://schemas.openxmlformats.org/officeDocument/2006/relationships/header" Target="header3.xml"/><Relationship Id="rId20" Type="http://schemas.openxmlformats.org/officeDocument/2006/relationships/header" Target="header2.xml"/><Relationship Id="rId41" Type="http://schemas.openxmlformats.org/officeDocument/2006/relationships/hyperlink" Target="http://stat.gov.pl/wskazniki-makroekonomiczn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urostat_formularze_2019\08.11.2019_poprawiony%20Oil%20w%205-ciu%20rocznych%20form\Brudnopis_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urostat_formularze_2019\08.11.2019_poprawiony%20Oil%20w%205-ciu%20rocznych%20form\Brudnopis_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urostat_formularze_2019\08.11.2019_poprawiony%20Oil%20w%205-ciu%20rocznych%20form\Brudnopis_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urostat_formularze_2019\08.11.2019_poprawiony%20Oil%20w%205-ciu%20rocznych%20form\Brudnopis_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urostat_formularze_2019\08.11.2019_poprawiony%20Oil%20w%205-ciu%20rocznych%20form\Brudnopis_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urostat_formularze_2019\08.11.2019_poprawiony%20Oil%20w%205-ciu%20rocznych%20form\Brudnopis_n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nergia%20ze%20&#378;r&#243;de&#322;%20odnawialnych%20w%202018%20r\1_Tablice%20i%20wykresy%20do%20publikacji_2018_19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nergia%20ze%20&#378;r&#243;de&#322;%20odnawialnych%20w%202018%20r\Tablica%2020_nowa\Udzia&#322;y%20docelowe%20OZE%20UE%2028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gasa\Desktop\Moje%20dokumenty\Rok%202019\Energia%20ze%20&#378;r&#243;de&#322;%20odnawialnych%20w%202018%20r\Tablica%2020_nowa\nrg_ind_ren%20(2)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94176377952755908"/>
          <c:y val="0.86111111111111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4816229221347333"/>
          <c:y val="0.14592592592592593"/>
          <c:w val="0.67562248468941377"/>
          <c:h val="0.7564508603091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'[4ćw2_Energy-balance-builder-90409_n.xlsm]Tablica 9'!$E$36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6677AD"/>
            </a:solidFill>
            <a:ln w="3175"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'[4ćw2_Energy-balance-builder-90409_n.xlsm]Tablica 9'!$B$37:$B$45</c:f>
              <c:strCache>
                <c:ptCount val="9"/>
                <c:pt idx="0">
                  <c:v>Energia geotermalna</c:v>
                </c:pt>
                <c:pt idx="1">
                  <c:v>Pompy ciepła</c:v>
                </c:pt>
                <c:pt idx="2">
                  <c:v>Energia słoneczna</c:v>
                </c:pt>
                <c:pt idx="3">
                  <c:v>Odpady komunalne</c:v>
                </c:pt>
                <c:pt idx="4">
                  <c:v>Energia wody</c:v>
                </c:pt>
                <c:pt idx="5">
                  <c:v>Biogaz</c:v>
                </c:pt>
                <c:pt idx="6">
                  <c:v>Biopaliwa ciekłe</c:v>
                </c:pt>
                <c:pt idx="7">
                  <c:v>Energia wiatru</c:v>
                </c:pt>
                <c:pt idx="8">
                  <c:v>Biopaliwa stałe</c:v>
                </c:pt>
              </c:strCache>
            </c:strRef>
          </c:cat>
          <c:val>
            <c:numRef>
              <c:f>'[4ćw2_Energy-balance-builder-90409_n.xlsm]Tablica 9'!$E$37:$E$45</c:f>
              <c:numCache>
                <c:formatCode>General</c:formatCode>
                <c:ptCount val="9"/>
                <c:pt idx="0">
                  <c:v>0.27000802398056944</c:v>
                </c:pt>
                <c:pt idx="1">
                  <c:v>0.68045949563315244</c:v>
                </c:pt>
                <c:pt idx="2">
                  <c:v>0.94404138166014828</c:v>
                </c:pt>
                <c:pt idx="3">
                  <c:v>1.1215756480178485</c:v>
                </c:pt>
                <c:pt idx="4">
                  <c:v>1.9321539209594705</c:v>
                </c:pt>
                <c:pt idx="5">
                  <c:v>3.2889442755170499</c:v>
                </c:pt>
                <c:pt idx="6">
                  <c:v>10.331001492342958</c:v>
                </c:pt>
                <c:pt idx="7">
                  <c:v>12.552930865551929</c:v>
                </c:pt>
                <c:pt idx="8">
                  <c:v>68.878884896336857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743856"/>
        <c:axId val="143737328"/>
      </c:barChart>
      <c:catAx>
        <c:axId val="143743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3737328"/>
        <c:crosses val="autoZero"/>
        <c:auto val="1"/>
        <c:lblAlgn val="ctr"/>
        <c:lblOffset val="100"/>
        <c:noMultiLvlLbl val="0"/>
      </c:catAx>
      <c:valAx>
        <c:axId val="14373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" sourceLinked="0"/>
        <c:majorTickMark val="out"/>
        <c:minorTickMark val="in"/>
        <c:tickLblPos val="nextTo"/>
        <c:spPr>
          <a:noFill/>
          <a:ln w="3175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374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94690266841644799"/>
          <c:y val="0.851851851851851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'[4ćw2_Energy-balance-builder-90409_n.xlsm]Tablica 9'!$C$36</c:f>
              <c:strCache>
                <c:ptCount val="1"/>
                <c:pt idx="0">
                  <c:v>TJ</c:v>
                </c:pt>
              </c:strCache>
            </c:strRef>
          </c:tx>
          <c:spPr>
            <a:solidFill>
              <a:srgbClr val="6677AD"/>
            </a:solidFill>
            <a:ln w="3175"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'[4ćw2_Energy-balance-builder-90409_n.xlsm]Tablica 9'!$B$37:$B$45</c:f>
              <c:strCache>
                <c:ptCount val="9"/>
                <c:pt idx="0">
                  <c:v>Energia geotermalna</c:v>
                </c:pt>
                <c:pt idx="1">
                  <c:v>Pompy ciepła</c:v>
                </c:pt>
                <c:pt idx="2">
                  <c:v>Energia słoneczna</c:v>
                </c:pt>
                <c:pt idx="3">
                  <c:v>Odpady komunalne</c:v>
                </c:pt>
                <c:pt idx="4">
                  <c:v>Energia wody</c:v>
                </c:pt>
                <c:pt idx="5">
                  <c:v>Biogaz</c:v>
                </c:pt>
                <c:pt idx="6">
                  <c:v>Biopaliwa ciekłe</c:v>
                </c:pt>
                <c:pt idx="7">
                  <c:v>Energia wiatru</c:v>
                </c:pt>
                <c:pt idx="8">
                  <c:v>Biopaliwa stałe</c:v>
                </c:pt>
              </c:strCache>
            </c:strRef>
          </c:cat>
          <c:val>
            <c:numRef>
              <c:f>'[4ćw2_Energy-balance-builder-90409_n.xlsm]Tablica 9'!$C$37:$C$45</c:f>
              <c:numCache>
                <c:formatCode>General</c:formatCode>
                <c:ptCount val="9"/>
                <c:pt idx="0">
                  <c:v>991.06700000000001</c:v>
                </c:pt>
                <c:pt idx="1">
                  <c:v>2497.6329999999998</c:v>
                </c:pt>
                <c:pt idx="2">
                  <c:v>3465.1128000000003</c:v>
                </c:pt>
                <c:pt idx="3">
                  <c:v>4116.7539999999999</c:v>
                </c:pt>
                <c:pt idx="4">
                  <c:v>7091.9892</c:v>
                </c:pt>
                <c:pt idx="5">
                  <c:v>12072.101000000001</c:v>
                </c:pt>
                <c:pt idx="6">
                  <c:v>37920.038467999999</c:v>
                </c:pt>
                <c:pt idx="7">
                  <c:v>46075.6512</c:v>
                </c:pt>
                <c:pt idx="8">
                  <c:v>252820.59700000001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737872"/>
        <c:axId val="206202192"/>
      </c:barChart>
      <c:catAx>
        <c:axId val="143737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02192"/>
        <c:crosses val="autoZero"/>
        <c:auto val="1"/>
        <c:lblAlgn val="ctr"/>
        <c:lblOffset val="100"/>
        <c:noMultiLvlLbl val="0"/>
      </c:catAx>
      <c:valAx>
        <c:axId val="206202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0"/>
        <c:majorTickMark val="out"/>
        <c:minorTickMark val="in"/>
        <c:tickLblPos val="nextTo"/>
        <c:spPr>
          <a:noFill/>
          <a:ln w="3175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143737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 b="1"/>
              <a:t>TJ</a:t>
            </a:r>
            <a:endParaRPr lang="en-US" sz="800" b="1"/>
          </a:p>
        </c:rich>
      </c:tx>
      <c:layout>
        <c:manualLayout>
          <c:xMode val="edge"/>
          <c:yMode val="edge"/>
          <c:x val="6.5867891513560803E-2"/>
          <c:y val="5.0078247261345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Arkusz4!$A$6</c:f>
              <c:strCache>
                <c:ptCount val="1"/>
                <c:pt idx="0">
                  <c:v>Końcowe zużycie energii brutto ze źródeł odnawialnych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Arkusz4!$B$5:$F$5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Arkusz4!$B$6:$F$6</c:f>
              <c:numCache>
                <c:formatCode>#,##0</c:formatCode>
                <c:ptCount val="5"/>
                <c:pt idx="0">
                  <c:v>309099.97577341646</c:v>
                </c:pt>
                <c:pt idx="1">
                  <c:v>320893.04354665772</c:v>
                </c:pt>
                <c:pt idx="2">
                  <c:v>328302.71552925982</c:v>
                </c:pt>
                <c:pt idx="3">
                  <c:v>338020.38188812416</c:v>
                </c:pt>
                <c:pt idx="4">
                  <c:v>349793.37491168914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214704"/>
        <c:axId val="206215248"/>
      </c:barChart>
      <c:catAx>
        <c:axId val="20621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15248"/>
        <c:crosses val="autoZero"/>
        <c:auto val="1"/>
        <c:lblAlgn val="ctr"/>
        <c:lblOffset val="100"/>
        <c:noMultiLvlLbl val="0"/>
      </c:catAx>
      <c:valAx>
        <c:axId val="206215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1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</a:rPr>
              <a:t>%</a:t>
            </a:r>
          </a:p>
        </c:rich>
      </c:tx>
      <c:layout>
        <c:manualLayout>
          <c:xMode val="edge"/>
          <c:yMode val="edge"/>
          <c:x val="3.2124890638670203E-2"/>
          <c:y val="4.07124681933842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_R50!$B$3</c:f>
              <c:strCache>
                <c:ptCount val="1"/>
                <c:pt idx="0">
                  <c:v>Udział OZE w 2018 r.</c:v>
                </c:pt>
              </c:strCache>
            </c:strRef>
          </c:tx>
          <c:spPr>
            <a:solidFill>
              <a:srgbClr val="99A5C9"/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22225" cap="rnd">
                <a:solidFill>
                  <a:srgbClr val="99A5C9"/>
                </a:solidFill>
                <a:prstDash val="sysDot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_R50!$A$4:$A$17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3">
                  <c:v>2020</c:v>
                </c:pt>
              </c:numCache>
            </c:numRef>
          </c:cat>
          <c:val>
            <c:numRef>
              <c:f>_R50!$B$4:$B$17</c:f>
              <c:numCache>
                <c:formatCode>0.00</c:formatCode>
                <c:ptCount val="14"/>
                <c:pt idx="0">
                  <c:v>6.9214247539079023</c:v>
                </c:pt>
                <c:pt idx="1">
                  <c:v>7.5968574111299976</c:v>
                </c:pt>
                <c:pt idx="2">
                  <c:v>8.6609409174332672</c:v>
                </c:pt>
                <c:pt idx="3">
                  <c:v>9.253425374262255</c:v>
                </c:pt>
                <c:pt idx="4">
                  <c:v>10.294886904816499</c:v>
                </c:pt>
                <c:pt idx="5">
                  <c:v>10.89714108631938</c:v>
                </c:pt>
                <c:pt idx="6">
                  <c:v>11.367774171942282</c:v>
                </c:pt>
                <c:pt idx="7">
                  <c:v>11.495124001642779</c:v>
                </c:pt>
                <c:pt idx="8">
                  <c:v>11.743193730849303</c:v>
                </c:pt>
                <c:pt idx="9">
                  <c:v>11.266772146600948</c:v>
                </c:pt>
                <c:pt idx="10">
                  <c:v>10.902891813182624</c:v>
                </c:pt>
                <c:pt idx="11">
                  <c:v>11.156549584807772</c:v>
                </c:pt>
              </c:numCache>
            </c:numRef>
          </c:val>
        </c:ser>
        <c:ser>
          <c:idx val="1"/>
          <c:order val="1"/>
          <c:tx>
            <c:strRef>
              <c:f>_R50!$C$3</c:f>
              <c:strCache>
                <c:ptCount val="1"/>
                <c:pt idx="0">
                  <c:v>Docelowy udział OZE w 2020 r.</c:v>
                </c:pt>
              </c:strCache>
            </c:strRef>
          </c:tx>
          <c:spPr>
            <a:solidFill>
              <a:srgbClr val="6677AD"/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_R50!$A$4:$A$17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3">
                  <c:v>2020</c:v>
                </c:pt>
              </c:numCache>
            </c:numRef>
          </c:cat>
          <c:val>
            <c:numRef>
              <c:f>_R50!$C$4:$C$17</c:f>
              <c:numCache>
                <c:formatCode>General</c:formatCode>
                <c:ptCount val="14"/>
                <c:pt idx="13" formatCode="0.00">
                  <c:v>15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6207088"/>
        <c:axId val="206203280"/>
      </c:barChart>
      <c:catAx>
        <c:axId val="20620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21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03280"/>
        <c:crosses val="autoZero"/>
        <c:auto val="1"/>
        <c:lblAlgn val="ctr"/>
        <c:lblOffset val="100"/>
        <c:noMultiLvlLbl val="0"/>
      </c:catAx>
      <c:valAx>
        <c:axId val="20620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in"/>
        <c:tickLblPos val="nextTo"/>
        <c:spPr>
          <a:noFill/>
          <a:ln w="3175">
            <a:noFill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0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r>
              <a:rPr lang="pl-PL" sz="800" b="1"/>
              <a:t>%</a:t>
            </a:r>
            <a:r>
              <a:rPr lang="en-US" sz="800" b="1"/>
              <a:t>  </a:t>
            </a:r>
          </a:p>
        </c:rich>
      </c:tx>
      <c:layout>
        <c:manualLayout>
          <c:xMode val="edge"/>
          <c:yMode val="edge"/>
          <c:x val="3.1435418398787107E-2"/>
          <c:y val="1.36634348877770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1992304804804804E-2"/>
          <c:y val="0.11563271604938272"/>
          <c:w val="0.91417135885885881"/>
          <c:h val="0.747240123456790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_R52!$A$4</c:f>
              <c:strCache>
                <c:ptCount val="1"/>
                <c:pt idx="0">
                  <c:v>Udział energii z OZE w elektroenergetyce  </c:v>
                </c:pt>
              </c:strCache>
            </c:strRef>
          </c:tx>
          <c:spPr>
            <a:solidFill>
              <a:srgbClr val="99A5C9"/>
            </a:solidFill>
            <a:ln w="3175"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2700" cap="rnd">
                <a:solidFill>
                  <a:srgbClr val="99A5C9"/>
                </a:solidFill>
                <a:prstDash val="sysDash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_R52!$B$3:$M$3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_R52!$B$4:$M$4</c:f>
              <c:numCache>
                <c:formatCode>0.00</c:formatCode>
                <c:ptCount val="12"/>
                <c:pt idx="0">
                  <c:v>3.4503084303767642</c:v>
                </c:pt>
                <c:pt idx="1">
                  <c:v>4.3723371819100176</c:v>
                </c:pt>
                <c:pt idx="2">
                  <c:v>5.8304724935662344</c:v>
                </c:pt>
                <c:pt idx="3">
                  <c:v>6.6483498623628776</c:v>
                </c:pt>
                <c:pt idx="4">
                  <c:v>8.1622068849853164</c:v>
                </c:pt>
                <c:pt idx="5">
                  <c:v>10.67938086762061</c:v>
                </c:pt>
                <c:pt idx="6">
                  <c:v>10.731131424619157</c:v>
                </c:pt>
                <c:pt idx="7">
                  <c:v>12.403762233640801</c:v>
                </c:pt>
                <c:pt idx="8">
                  <c:v>13.432694000911058</c:v>
                </c:pt>
                <c:pt idx="9">
                  <c:v>13.360193967358502</c:v>
                </c:pt>
                <c:pt idx="10">
                  <c:v>13.088623047655028</c:v>
                </c:pt>
                <c:pt idx="11">
                  <c:v>13.026459932180371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213072"/>
        <c:axId val="206210896"/>
      </c:barChart>
      <c:catAx>
        <c:axId val="20621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21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206210896"/>
        <c:crosses val="autoZero"/>
        <c:auto val="1"/>
        <c:lblAlgn val="ctr"/>
        <c:lblOffset val="100"/>
        <c:noMultiLvlLbl val="0"/>
      </c:catAx>
      <c:valAx>
        <c:axId val="20621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" sourceLinked="0"/>
        <c:majorTickMark val="out"/>
        <c:minorTickMark val="in"/>
        <c:tickLblPos val="nextTo"/>
        <c:spPr>
          <a:noFill/>
          <a:ln w="3175">
            <a:noFill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20621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r>
              <a:rPr lang="pl-PL" b="1"/>
              <a:t>%</a:t>
            </a:r>
            <a:r>
              <a:rPr lang="en-US" b="1"/>
              <a:t>  </a:t>
            </a:r>
          </a:p>
        </c:rich>
      </c:tx>
      <c:layout>
        <c:manualLayout>
          <c:xMode val="edge"/>
          <c:yMode val="edge"/>
          <c:x val="3.374125874125871E-2"/>
          <c:y val="2.74382716049382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_R51!$A$4</c:f>
              <c:strCache>
                <c:ptCount val="1"/>
                <c:pt idx="0">
                  <c:v>Udział energii z OZE w ciepłownictwie i chłodnictwie  </c:v>
                </c:pt>
              </c:strCache>
            </c:strRef>
          </c:tx>
          <c:spPr>
            <a:solidFill>
              <a:srgbClr val="99A5C9"/>
            </a:solidFill>
            <a:ln w="3175"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2700" cap="rnd">
                <a:solidFill>
                  <a:srgbClr val="99A5C9"/>
                </a:solidFill>
                <a:prstDash val="sysDash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_R51!$B$3:$M$3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_R51!$B$4:$M$4</c:f>
              <c:numCache>
                <c:formatCode>0.00</c:formatCode>
                <c:ptCount val="12"/>
                <c:pt idx="0">
                  <c:v>10.459735332915983</c:v>
                </c:pt>
                <c:pt idx="1">
                  <c:v>10.849333508646463</c:v>
                </c:pt>
                <c:pt idx="2">
                  <c:v>11.54207460759894</c:v>
                </c:pt>
                <c:pt idx="3">
                  <c:v>11.733679815412703</c:v>
                </c:pt>
                <c:pt idx="4">
                  <c:v>13.138000182420855</c:v>
                </c:pt>
                <c:pt idx="5">
                  <c:v>13.372065367790803</c:v>
                </c:pt>
                <c:pt idx="6">
                  <c:v>14.102517383900913</c:v>
                </c:pt>
                <c:pt idx="7">
                  <c:v>14.027273090698017</c:v>
                </c:pt>
                <c:pt idx="8">
                  <c:v>14.535064443026288</c:v>
                </c:pt>
                <c:pt idx="9">
                  <c:v>14.679076239152971</c:v>
                </c:pt>
                <c:pt idx="10">
                  <c:v>14.484564957729559</c:v>
                </c:pt>
                <c:pt idx="11">
                  <c:v>14.557445762578947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205456"/>
        <c:axId val="206212528"/>
      </c:barChart>
      <c:catAx>
        <c:axId val="20620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21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206212528"/>
        <c:crosses val="autoZero"/>
        <c:auto val="1"/>
        <c:lblAlgn val="ctr"/>
        <c:lblOffset val="100"/>
        <c:noMultiLvlLbl val="0"/>
      </c:catAx>
      <c:valAx>
        <c:axId val="20621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in"/>
        <c:tickLblPos val="nextTo"/>
        <c:spPr>
          <a:noFill/>
          <a:ln w="3175">
            <a:noFill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Times New Roman" panose="02020603050405020304" pitchFamily="18" charset="0"/>
              </a:defRPr>
            </a:pPr>
            <a:endParaRPr lang="pl-PL"/>
          </a:p>
        </c:txPr>
        <c:crossAx val="20620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 b="1"/>
              <a:t>%</a:t>
            </a:r>
          </a:p>
        </c:rich>
      </c:tx>
      <c:layout>
        <c:manualLayout>
          <c:xMode val="edge"/>
          <c:yMode val="edge"/>
          <c:x val="3.0215223097112835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'R47b'!$B$3</c:f>
              <c:strCache>
                <c:ptCount val="1"/>
                <c:pt idx="0">
                  <c:v>Udział OZE w transporcie</c:v>
                </c:pt>
              </c:strCache>
            </c:strRef>
          </c:tx>
          <c:spPr>
            <a:solidFill>
              <a:srgbClr val="99A5C9"/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2700" cap="rnd">
                <a:solidFill>
                  <a:srgbClr val="99A5C9"/>
                </a:solidFill>
                <a:prstDash val="sysDash"/>
                <a:tailEnd type="triangle"/>
              </a:ln>
              <a:effectLst/>
            </c:spPr>
            <c:trendlineType val="linear"/>
            <c:dispRSqr val="0"/>
            <c:dispEq val="0"/>
          </c:trendline>
          <c:cat>
            <c:numRef>
              <c:f>'R47b'!$A$4:$A$17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3">
                  <c:v>2020</c:v>
                </c:pt>
              </c:numCache>
            </c:numRef>
          </c:cat>
          <c:val>
            <c:numRef>
              <c:f>'R47b'!$B$4:$B$17</c:f>
              <c:numCache>
                <c:formatCode>0.00</c:formatCode>
                <c:ptCount val="14"/>
                <c:pt idx="0">
                  <c:v>1.6062882751264895</c:v>
                </c:pt>
                <c:pt idx="1">
                  <c:v>3.4747476547850811</c:v>
                </c:pt>
                <c:pt idx="2">
                  <c:v>5.3361494445266304</c:v>
                </c:pt>
                <c:pt idx="3">
                  <c:v>6.5713666356154583</c:v>
                </c:pt>
                <c:pt idx="4">
                  <c:v>6.8462882678300749</c:v>
                </c:pt>
                <c:pt idx="5">
                  <c:v>6.4622614829640144</c:v>
                </c:pt>
                <c:pt idx="6">
                  <c:v>6.5902781032809337</c:v>
                </c:pt>
                <c:pt idx="7">
                  <c:v>6.2471077877794086</c:v>
                </c:pt>
                <c:pt idx="8">
                  <c:v>5.6235576919390473</c:v>
                </c:pt>
                <c:pt idx="9">
                  <c:v>3.9245590011850475</c:v>
                </c:pt>
                <c:pt idx="10">
                  <c:v>4.2024937888779696</c:v>
                </c:pt>
                <c:pt idx="11">
                  <c:v>5.6263416962809627</c:v>
                </c:pt>
              </c:numCache>
            </c:numRef>
          </c:val>
        </c:ser>
        <c:ser>
          <c:idx val="1"/>
          <c:order val="1"/>
          <c:tx>
            <c:strRef>
              <c:f>'R47b'!$C$3</c:f>
              <c:strCache>
                <c:ptCount val="1"/>
                <c:pt idx="0">
                  <c:v>Docelowy udział OZE w transporcie w 2020 r.</c:v>
                </c:pt>
              </c:strCache>
            </c:strRef>
          </c:tx>
          <c:spPr>
            <a:solidFill>
              <a:srgbClr val="6677AD"/>
            </a:solidFill>
            <a:ln w="3175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'R47b'!$A$4:$A$17</c:f>
              <c:numCache>
                <c:formatCode>General</c:formatCod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3">
                  <c:v>2020</c:v>
                </c:pt>
              </c:numCache>
            </c:numRef>
          </c:cat>
          <c:val>
            <c:numRef>
              <c:f>'R47b'!$C$4:$C$17</c:f>
              <c:numCache>
                <c:formatCode>General</c:formatCode>
                <c:ptCount val="14"/>
                <c:pt idx="13" formatCode="0.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203824"/>
        <c:axId val="206213616"/>
      </c:barChart>
      <c:catAx>
        <c:axId val="20620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13616"/>
        <c:crosses val="autoZero"/>
        <c:auto val="1"/>
        <c:lblAlgn val="ctr"/>
        <c:lblOffset val="100"/>
        <c:noMultiLvlLbl val="0"/>
      </c:catAx>
      <c:valAx>
        <c:axId val="20621361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317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0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800" b="1" i="0" u="none" strike="noStrike" baseline="0">
                <a:effectLst/>
              </a:rPr>
              <a:t>p. proc.</a:t>
            </a:r>
            <a:endParaRPr lang="pl-PL" sz="800" b="1"/>
          </a:p>
        </c:rich>
      </c:tx>
      <c:layout>
        <c:manualLayout>
          <c:xMode val="edge"/>
          <c:yMode val="edge"/>
          <c:x val="1.1766493055555556E-2"/>
          <c:y val="2.82222222222222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'UE-28_RES_2017'!$A$3:$A$31</c:f>
              <c:strCache>
                <c:ptCount val="29"/>
                <c:pt idx="0">
                  <c:v>Chorwacja</c:v>
                </c:pt>
                <c:pt idx="1">
                  <c:v>Dania</c:v>
                </c:pt>
                <c:pt idx="2">
                  <c:v>Szwecja</c:v>
                </c:pt>
                <c:pt idx="3">
                  <c:v>Estonia</c:v>
                </c:pt>
                <c:pt idx="4">
                  <c:v>Finlandia</c:v>
                </c:pt>
                <c:pt idx="5">
                  <c:v>Litwa</c:v>
                </c:pt>
                <c:pt idx="6">
                  <c:v>Bułgaria</c:v>
                </c:pt>
                <c:pt idx="7">
                  <c:v>Czechy</c:v>
                </c:pt>
                <c:pt idx="8">
                  <c:v>Włochy</c:v>
                </c:pt>
                <c:pt idx="9">
                  <c:v>Rumunia</c:v>
                </c:pt>
                <c:pt idx="10">
                  <c:v>Węgry</c:v>
                </c:pt>
                <c:pt idx="11">
                  <c:v>Austria</c:v>
                </c:pt>
                <c:pt idx="12">
                  <c:v>Grecja</c:v>
                </c:pt>
                <c:pt idx="13">
                  <c:v>UE-28</c:v>
                </c:pt>
                <c:pt idx="14">
                  <c:v>Hiszpania</c:v>
                </c:pt>
                <c:pt idx="15">
                  <c:v>Słowacja</c:v>
                </c:pt>
                <c:pt idx="16">
                  <c:v>Niemcy</c:v>
                </c:pt>
                <c:pt idx="17">
                  <c:v>Malta</c:v>
                </c:pt>
                <c:pt idx="18">
                  <c:v>Portugalia</c:v>
                </c:pt>
                <c:pt idx="19">
                  <c:v>Łotwa</c:v>
                </c:pt>
                <c:pt idx="20">
                  <c:v>Cypr</c:v>
                </c:pt>
                <c:pt idx="21">
                  <c:v>Słowenia</c:v>
                </c:pt>
                <c:pt idx="22">
                  <c:v>Belgia</c:v>
                </c:pt>
                <c:pt idx="23">
                  <c:v>Polska</c:v>
                </c:pt>
                <c:pt idx="24">
                  <c:v>Luksemburg</c:v>
                </c:pt>
                <c:pt idx="25">
                  <c:v>Wielka Brytania</c:v>
                </c:pt>
                <c:pt idx="26">
                  <c:v>Irlandia</c:v>
                </c:pt>
                <c:pt idx="27">
                  <c:v>Francja</c:v>
                </c:pt>
                <c:pt idx="28">
                  <c:v>Holandia</c:v>
                </c:pt>
              </c:strCache>
            </c:strRef>
          </c:cat>
          <c:val>
            <c:numRef>
              <c:f>'UE-28_RES_2017'!$D$3:$D$31</c:f>
              <c:numCache>
                <c:formatCode>#\ ##0.0</c:formatCode>
                <c:ptCount val="29"/>
                <c:pt idx="0">
                  <c:v>7.2749999999999986</c:v>
                </c:pt>
                <c:pt idx="1">
                  <c:v>5.7719999999999985</c:v>
                </c:pt>
                <c:pt idx="2">
                  <c:v>5.4990000000000023</c:v>
                </c:pt>
                <c:pt idx="3">
                  <c:v>4.2100000000000009</c:v>
                </c:pt>
                <c:pt idx="4">
                  <c:v>3.0090000000000003</c:v>
                </c:pt>
                <c:pt idx="5">
                  <c:v>2.8350000000000009</c:v>
                </c:pt>
                <c:pt idx="6">
                  <c:v>2.7340000000000018</c:v>
                </c:pt>
                <c:pt idx="7">
                  <c:v>1.7599999999999998</c:v>
                </c:pt>
                <c:pt idx="8">
                  <c:v>1.2669999999999995</c:v>
                </c:pt>
                <c:pt idx="9">
                  <c:v>0.46799999999999997</c:v>
                </c:pt>
                <c:pt idx="10">
                  <c:v>0.33500000000000085</c:v>
                </c:pt>
                <c:pt idx="11">
                  <c:v>-1.4420000000000002</c:v>
                </c:pt>
                <c:pt idx="12">
                  <c:v>-1.6780000000000008</c:v>
                </c:pt>
                <c:pt idx="13">
                  <c:v>-2.4840000000000018</c:v>
                </c:pt>
                <c:pt idx="14">
                  <c:v>-2.4890000000000008</c:v>
                </c:pt>
                <c:pt idx="15">
                  <c:v>-2.5100000000000016</c:v>
                </c:pt>
                <c:pt idx="16">
                  <c:v>-2.548</c:v>
                </c:pt>
                <c:pt idx="17">
                  <c:v>-2.83</c:v>
                </c:pt>
                <c:pt idx="18">
                  <c:v>-2.8850000000000016</c:v>
                </c:pt>
                <c:pt idx="19">
                  <c:v>-2.990000000000002</c:v>
                </c:pt>
                <c:pt idx="20">
                  <c:v>-3.1500000000000004</c:v>
                </c:pt>
                <c:pt idx="21">
                  <c:v>-3.4529999999999994</c:v>
                </c:pt>
                <c:pt idx="22">
                  <c:v>-3.9420000000000002</c:v>
                </c:pt>
                <c:pt idx="23">
                  <c:v>-4.0969999999999995</c:v>
                </c:pt>
                <c:pt idx="24">
                  <c:v>-4.62</c:v>
                </c:pt>
                <c:pt idx="25">
                  <c:v>-4.7940000000000005</c:v>
                </c:pt>
                <c:pt idx="26">
                  <c:v>-5.3490000000000002</c:v>
                </c:pt>
                <c:pt idx="27">
                  <c:v>-6.6999999999999993</c:v>
                </c:pt>
                <c:pt idx="28">
                  <c:v>-7.3960000000000017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208720"/>
        <c:axId val="206215792"/>
      </c:barChart>
      <c:catAx>
        <c:axId val="206208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low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31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15792"/>
        <c:crosses val="autoZero"/>
        <c:auto val="1"/>
        <c:lblAlgn val="ctr"/>
        <c:lblOffset val="100"/>
        <c:noMultiLvlLbl val="0"/>
      </c:catAx>
      <c:valAx>
        <c:axId val="206215792"/>
        <c:scaling>
          <c:orientation val="minMax"/>
          <c:max val="10"/>
          <c:min val="-1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0872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r>
              <a:rPr lang="pl-PL" sz="800" b="1">
                <a:latin typeface="Fira Sans" panose="020B0503050000020004" pitchFamily="34" charset="0"/>
              </a:rPr>
              <a:t>p. proc.</a:t>
            </a:r>
          </a:p>
        </c:rich>
      </c:tx>
      <c:layout>
        <c:manualLayout>
          <c:xMode val="edge"/>
          <c:yMode val="edge"/>
          <c:x val="4.1487847222222421E-3"/>
          <c:y val="1.37001078748651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Transport_1!$A$48:$A$76</c:f>
              <c:strCache>
                <c:ptCount val="29"/>
                <c:pt idx="0">
                  <c:v>Estonia</c:v>
                </c:pt>
                <c:pt idx="1">
                  <c:v>Chorwacja</c:v>
                </c:pt>
                <c:pt idx="2">
                  <c:v>Grecja</c:v>
                </c:pt>
                <c:pt idx="3">
                  <c:v>Łotwa</c:v>
                </c:pt>
                <c:pt idx="4">
                  <c:v>Cypr</c:v>
                </c:pt>
                <c:pt idx="5">
                  <c:v>Słowenia</c:v>
                </c:pt>
                <c:pt idx="6">
                  <c:v>Litwa</c:v>
                </c:pt>
                <c:pt idx="7">
                  <c:v>Polska</c:v>
                </c:pt>
                <c:pt idx="8">
                  <c:v>Wielka Brytania</c:v>
                </c:pt>
                <c:pt idx="9">
                  <c:v>Holandia</c:v>
                </c:pt>
                <c:pt idx="10">
                  <c:v>Hiszpania</c:v>
                </c:pt>
                <c:pt idx="11">
                  <c:v>Luksemburg</c:v>
                </c:pt>
                <c:pt idx="12">
                  <c:v>Włochy</c:v>
                </c:pt>
                <c:pt idx="13">
                  <c:v>Rumunia</c:v>
                </c:pt>
                <c:pt idx="14">
                  <c:v>Belgia</c:v>
                </c:pt>
                <c:pt idx="15">
                  <c:v>Czechy</c:v>
                </c:pt>
                <c:pt idx="16">
                  <c:v>Malta</c:v>
                </c:pt>
                <c:pt idx="17">
                  <c:v>Wegry</c:v>
                </c:pt>
                <c:pt idx="18">
                  <c:v>Dania</c:v>
                </c:pt>
                <c:pt idx="19">
                  <c:v>Słowacja</c:v>
                </c:pt>
                <c:pt idx="20">
                  <c:v>Niemcy</c:v>
                </c:pt>
                <c:pt idx="21">
                  <c:v>Bułgaria</c:v>
                </c:pt>
                <c:pt idx="22">
                  <c:v>UE-28</c:v>
                </c:pt>
                <c:pt idx="23">
                  <c:v>Irlandia</c:v>
                </c:pt>
                <c:pt idx="24">
                  <c:v>Portugalia</c:v>
                </c:pt>
                <c:pt idx="25">
                  <c:v>Francja</c:v>
                </c:pt>
                <c:pt idx="26">
                  <c:v>Austria</c:v>
                </c:pt>
                <c:pt idx="27">
                  <c:v>Finlandia</c:v>
                </c:pt>
                <c:pt idx="28">
                  <c:v>Szwecja</c:v>
                </c:pt>
              </c:strCache>
            </c:strRef>
          </c:cat>
          <c:val>
            <c:numRef>
              <c:f>Transport_1!$D$48:$D$76</c:f>
              <c:numCache>
                <c:formatCode>#\ ##0.0</c:formatCode>
                <c:ptCount val="29"/>
                <c:pt idx="0">
                  <c:v>-9.5950000000000006</c:v>
                </c:pt>
                <c:pt idx="1">
                  <c:v>-8.8189999999999991</c:v>
                </c:pt>
                <c:pt idx="2">
                  <c:v>-8.1959999999999997</c:v>
                </c:pt>
                <c:pt idx="3">
                  <c:v>-7.4559999999999995</c:v>
                </c:pt>
                <c:pt idx="4">
                  <c:v>-7.4290000000000003</c:v>
                </c:pt>
                <c:pt idx="5">
                  <c:v>-7.2620000000000005</c:v>
                </c:pt>
                <c:pt idx="6">
                  <c:v>-6.3109999999999999</c:v>
                </c:pt>
                <c:pt idx="7">
                  <c:v>-5.7969999999999997</c:v>
                </c:pt>
                <c:pt idx="8">
                  <c:v>-4.95</c:v>
                </c:pt>
                <c:pt idx="9">
                  <c:v>-4.0880000000000001</c:v>
                </c:pt>
                <c:pt idx="10">
                  <c:v>-4.0830000000000002</c:v>
                </c:pt>
                <c:pt idx="11">
                  <c:v>-3.5650000000000004</c:v>
                </c:pt>
                <c:pt idx="12">
                  <c:v>-3.516</c:v>
                </c:pt>
                <c:pt idx="13">
                  <c:v>-3.4420000000000002</c:v>
                </c:pt>
                <c:pt idx="14">
                  <c:v>-3.4240000000000004</c:v>
                </c:pt>
                <c:pt idx="15">
                  <c:v>-3.42</c:v>
                </c:pt>
                <c:pt idx="16">
                  <c:v>-3.2030000000000003</c:v>
                </c:pt>
                <c:pt idx="17">
                  <c:v>-3.194</c:v>
                </c:pt>
                <c:pt idx="18">
                  <c:v>-3.1529999999999996</c:v>
                </c:pt>
                <c:pt idx="19">
                  <c:v>-2.9740000000000002</c:v>
                </c:pt>
                <c:pt idx="20">
                  <c:v>-2.9660000000000002</c:v>
                </c:pt>
                <c:pt idx="21">
                  <c:v>-2.7560000000000002</c:v>
                </c:pt>
                <c:pt idx="22">
                  <c:v>-2.6139999999999999</c:v>
                </c:pt>
                <c:pt idx="23">
                  <c:v>-2.5659999999999998</c:v>
                </c:pt>
                <c:pt idx="24">
                  <c:v>-2.0659999999999998</c:v>
                </c:pt>
                <c:pt idx="25">
                  <c:v>-0.85899999999999999</c:v>
                </c:pt>
                <c:pt idx="26">
                  <c:v>-0.25999999999999979</c:v>
                </c:pt>
                <c:pt idx="27">
                  <c:v>8.8249999999999993</c:v>
                </c:pt>
                <c:pt idx="28">
                  <c:v>22.112000000000002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208176"/>
        <c:axId val="206211440"/>
      </c:barChart>
      <c:catAx>
        <c:axId val="20620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75" cap="flat" cmpd="sng" algn="ctr">
            <a:solidFill>
              <a:schemeClr val="tx1"/>
            </a:solidFill>
            <a:round/>
          </a:ln>
          <a:effectLst/>
        </c:spPr>
        <c:txPr>
          <a:bodyPr rot="-31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206211440"/>
        <c:crosses val="autoZero"/>
        <c:auto val="1"/>
        <c:lblAlgn val="ctr"/>
        <c:lblOffset val="100"/>
        <c:noMultiLvlLbl val="0"/>
      </c:catAx>
      <c:valAx>
        <c:axId val="206211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620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 ze źródeł odnawialnych w 2018 roku</dc:title>
  <dc:subject>Energia ze źródeł odnawialnych w 2018 roku</dc:subject>
  <dc:creator>Główny Urząd Statystyczny</dc:creator>
  <cp:keywords>energia ze źródeł odnawialnych; odnawialne źródła energii; biopaliwa stałe; dane o energii; energia geotermalna; energia słoneczna; energia wiatru; energia wody; energia pierwotna; energia pochodna; zużycie energii</cp:keywords>
  <dc:description/>
  <cp:lastPrinted>2019-11-14T12:40:00Z</cp:lastPrinted>
  <dcterms:created xsi:type="dcterms:W3CDTF">2019-11-15T12:00:00Z</dcterms:created>
  <dcterms:modified xsi:type="dcterms:W3CDTF">2019-11-15T13:48:00Z</dcterms:modified>
  <cp:category>Energia</cp:category>
</cp:coreProperties>
</file>