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522" w:rsidRDefault="00685123" w:rsidP="003047EF">
      <w:pPr>
        <w:pStyle w:val="tytuinformacji"/>
      </w:pPr>
      <w:r w:rsidRPr="00876337">
        <w:t>Wskaźniki cen towarów i usług konsumpcyjnych w</w:t>
      </w:r>
      <w:r w:rsidR="00CC17BD">
        <w:t>e </w:t>
      </w:r>
      <w:r w:rsidR="00A27522">
        <w:t>wrześniu</w:t>
      </w:r>
      <w:r w:rsidR="00876337" w:rsidRPr="00876337">
        <w:t xml:space="preserve"> 2019</w:t>
      </w:r>
      <w:r w:rsidR="00EE696D" w:rsidRPr="00876337">
        <w:t xml:space="preserve"> r.</w:t>
      </w:r>
    </w:p>
    <w:p w:rsidR="00DA0C7E" w:rsidRPr="00DA0C7E" w:rsidRDefault="00DA0C7E" w:rsidP="003047EF">
      <w:pPr>
        <w:pStyle w:val="tytuinformacji"/>
        <w:rPr>
          <w:sz w:val="19"/>
          <w:szCs w:val="19"/>
        </w:rPr>
      </w:pPr>
    </w:p>
    <w:p w:rsidR="0061655B" w:rsidRDefault="00D81F2B" w:rsidP="00CF08EF">
      <w:pPr>
        <w:pStyle w:val="LID"/>
      </w:pPr>
      <w:r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0;margin-top:6.2pt;width:2in;height:95.65pt;z-index:251772928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xJ6KAIAACMEAAAOAAAAZHJzL2Uyb0RvYy54bWysU9tu2zAMfR+wfxD0vviCZEmNOEWXrMOA&#10;rivQ7QNkWY6FSqImKbG7rx8lp2m2vQ3zgyCa5OHhIbW+HrUiR+G8BFPTYpZTIgyHVpp9Tb9/u323&#10;osQHZlqmwIiaPgtPrzdv36wHW4kSelCtcARBjK8GW9M+BFtlmee90MzPwAqDzg6cZgFNt89axwZE&#10;1yor8/x9NoBrrQMuvMe/u8lJNwm/6wQPX7vOi0BUTZFbSKdLZxPPbLNm1d4x20t+osH+gYVm0mDR&#10;M9SOBUYOTv4FpSV34KELMw46g66TXKQesJsi/6Obx55ZkXpBcbw9y+T/Hyy/Pz44ItualsWSEsM0&#10;DukBlCBBPPkAgyBlFGmwvsLYR4vRYfwAIw47NeztHfAnTwxse2b24sY5GHrBWiRZxMzsInXC8RGk&#10;Gb5Ai7XYIUACGjuno4KoCUF0HNbzeUBiDITHkqtytcrRxdFX5PPFar5INVj1km6dD58EaBIvNXW4&#10;AQmeHe98iHRY9RISq3lQsr2VSiXD7ZutcuTI4rbkxW65PKH/FqYMGWp6tSgXCdlAzE+LpGXAbVZS&#10;1xRp4hfTWRXl+GjadA9MqumOTJQ56RMlmcQJYzNiYBStgfYZlXIwbS2+Mrz04H5SMuDG1tT/ODAn&#10;KFGfDap9VcznccWTMV8sSzTcpae59DDDEaqmgZLpug3pWUS+Bm5wKp1Mer0yOXHFTUwynl5NXPVL&#10;O0W9vu3NLwAAAP//AwBQSwMEFAAGAAgAAAAhACufus3bAAAABwEAAA8AAABkcnMvZG93bnJldi54&#10;bWxMj8FOwzAMhu9IvENkJG4sbUEs6ppOCNQDIBBsXLh5rddWNE7VZFt5e8wJjv5+6/fnYj27QR1p&#10;Cr1nC+kiAUVc+6bn1sLHtroyoEJEbnDwTBa+KcC6PD8rMG/8id/puImtkhIOOVroYhxzrUPdkcOw&#10;8COxZHs/OYwyTq1uJjxJuRt0liS32mHPcqHDke47qr82B2fhJn2tzVv43LJ/qbLq+QHdY3iy9vJi&#10;vluBijTHv2X41Rd1KMVp5w/cBDVYkEei0OsUlKSZMQJ2ApZLA7os9H//8gcAAP//AwBQSwECLQAU&#10;AAYACAAAACEAtoM4kv4AAADhAQAAEwAAAAAAAAAAAAAAAAAAAAAAW0NvbnRlbnRfVHlwZXNdLnht&#10;bFBLAQItABQABgAIAAAAIQA4/SH/1gAAAJQBAAALAAAAAAAAAAAAAAAAAC8BAABfcmVscy8ucmVs&#10;c1BLAQItABQABgAIAAAAIQD1YxJ6KAIAACMEAAAOAAAAAAAAAAAAAAAAAC4CAABkcnMvZTJvRG9j&#10;LnhtbFBLAQItABQABgAIAAAAIQArn7rN2wAAAAcBAAAPAAAAAAAAAAAAAAAAAIIEAABkcnMvZG93&#10;bnJldi54bWxQSwUGAAAAAAQABADzAAAAigUAAAAA&#10;" fillcolor="#001d77" stroked="f">
            <v:textbox>
              <w:txbxContent>
                <w:p w:rsidR="00D81F2B" w:rsidRPr="00D538E4" w:rsidRDefault="00D81F2B" w:rsidP="00D538E4">
                  <w:pPr>
                    <w:spacing w:after="0" w:line="240" w:lineRule="auto"/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</w:pPr>
                  <w:r w:rsidRPr="00C61795">
                    <w:rPr>
                      <w:rFonts w:asciiTheme="minorHAnsi" w:hAnsiTheme="minorHAnsi"/>
                      <w:b/>
                      <w:noProof/>
                      <w:color w:val="001D77"/>
                      <w:sz w:val="22"/>
                      <w:lang w:val="en-GB" w:eastAsia="en-GB"/>
                    </w:rPr>
                    <w:drawing>
                      <wp:inline distT="0" distB="0" distL="0" distR="0" wp14:anchorId="65CCE146" wp14:editId="7FEB2653">
                        <wp:extent cx="334645" cy="334645"/>
                        <wp:effectExtent l="0" t="0" r="8255" b="8255"/>
                        <wp:docPr id="9" name="Obraz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645" cy="334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61795">
                    <w:rPr>
                      <w:noProof/>
                      <w:color w:val="001D77"/>
                      <w:lang w:eastAsia="pl-PL"/>
                    </w:rPr>
                    <w:t xml:space="preserve"> </w:t>
                  </w:r>
                  <w:r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2,6</w:t>
                  </w:r>
                  <w:r w:rsidRPr="004D3ABE">
                    <w:rPr>
                      <w:rFonts w:ascii="Fira Sans SemiBold" w:hAnsi="Fira Sans SemiBold"/>
                      <w:color w:val="FFFFFF" w:themeColor="background1"/>
                      <w:sz w:val="72"/>
                    </w:rPr>
                    <w:t>%</w:t>
                  </w:r>
                </w:p>
                <w:p w:rsidR="00D81F2B" w:rsidRDefault="00D81F2B" w:rsidP="00A27522">
                  <w:pPr>
                    <w:pStyle w:val="tekstnaniebieskimtle"/>
                  </w:pPr>
                  <w:r>
                    <w:t xml:space="preserve">wzrost w porównaniu </w:t>
                  </w:r>
                </w:p>
                <w:p w:rsidR="00D81F2B" w:rsidRDefault="00D81F2B" w:rsidP="00A27522">
                  <w:pPr>
                    <w:pStyle w:val="tekstnaniebieskimtle"/>
                  </w:pPr>
                  <w:r>
                    <w:t xml:space="preserve">z analogicznym miesiącem </w:t>
                  </w:r>
                </w:p>
                <w:p w:rsidR="00D81F2B" w:rsidRPr="00D538E4" w:rsidRDefault="00D81F2B" w:rsidP="00A27522">
                  <w:pPr>
                    <w:pStyle w:val="tekstnaniebieskimtle"/>
                    <w:rPr>
                      <w:color w:val="FFFFFF" w:themeColor="background1"/>
                      <w:sz w:val="18"/>
                      <w:szCs w:val="20"/>
                    </w:rPr>
                  </w:pPr>
                  <w:r>
                    <w:t>poprzedniego roku</w:t>
                  </w:r>
                </w:p>
              </w:txbxContent>
            </v:textbox>
            <w10:wrap type="square" anchorx="margin"/>
          </v:shape>
        </w:pict>
      </w:r>
      <w:r w:rsidR="00D538E4" w:rsidRPr="004D3ABE">
        <w:t>Ceny t</w:t>
      </w:r>
      <w:r w:rsidR="00A27522">
        <w:t>owarów i usług konsumpcyjnych we wrześniu</w:t>
      </w:r>
      <w:r w:rsidR="00D538E4" w:rsidRPr="004D3ABE">
        <w:t xml:space="preserve"> 201</w:t>
      </w:r>
      <w:r w:rsidR="006D5C42" w:rsidRPr="004D3ABE">
        <w:t>9</w:t>
      </w:r>
      <w:r w:rsidR="000F2650" w:rsidRPr="004D3ABE">
        <w:t xml:space="preserve"> r. </w:t>
      </w:r>
      <w:r w:rsidR="00A27522" w:rsidRPr="00A27522">
        <w:t>utrzymały się przeciętnie na poziomie zbliżonym do zanotowanego przed miesiącem</w:t>
      </w:r>
      <w:r w:rsidR="00D538E4" w:rsidRPr="004D3ABE">
        <w:t xml:space="preserve"> </w:t>
      </w:r>
      <w:r w:rsidR="00D538E4" w:rsidRPr="00453304">
        <w:t>(</w:t>
      </w:r>
      <w:r w:rsidR="00A27522">
        <w:t>przy spadku cen usług</w:t>
      </w:r>
      <w:r w:rsidR="00D538E4" w:rsidRPr="00453304">
        <w:t xml:space="preserve"> </w:t>
      </w:r>
      <w:r w:rsidR="00C57F14" w:rsidRPr="00453304">
        <w:t xml:space="preserve">– o </w:t>
      </w:r>
      <w:r w:rsidR="00A27522">
        <w:t>0</w:t>
      </w:r>
      <w:r w:rsidR="000F2650" w:rsidRPr="00453304">
        <w:t>,</w:t>
      </w:r>
      <w:r w:rsidR="00A27522">
        <w:t>2</w:t>
      </w:r>
      <w:r w:rsidR="00EB73D7" w:rsidRPr="00453304">
        <w:t>%</w:t>
      </w:r>
      <w:r w:rsidR="00D9456F">
        <w:t xml:space="preserve"> i </w:t>
      </w:r>
      <w:r w:rsidR="00453304" w:rsidRPr="00D9456F">
        <w:t>utrzymujących się na tym samym poziomie cenach towarów</w:t>
      </w:r>
      <w:r w:rsidR="00453304" w:rsidRPr="00453304">
        <w:t>)</w:t>
      </w:r>
      <w:r w:rsidR="003077B5">
        <w:t>.</w:t>
      </w:r>
      <w:r w:rsidR="00917CCF" w:rsidRPr="00876337">
        <w:rPr>
          <w:highlight w:val="yellow"/>
        </w:rPr>
        <w:br/>
      </w:r>
      <w:r w:rsidR="006D6B72" w:rsidRPr="00B86545">
        <w:t>W porównaniu z </w:t>
      </w:r>
      <w:r w:rsidR="00D538E4" w:rsidRPr="00B86545">
        <w:t>a</w:t>
      </w:r>
      <w:r w:rsidR="000F2650" w:rsidRPr="00B86545">
        <w:t>nalo</w:t>
      </w:r>
      <w:r w:rsidR="000F2650" w:rsidRPr="00B86545">
        <w:softHyphen/>
        <w:t>gicznym miesiącem ub. roku</w:t>
      </w:r>
      <w:r w:rsidR="00D538E4" w:rsidRPr="00B86545">
        <w:t xml:space="preserve"> </w:t>
      </w:r>
      <w:r w:rsidR="00917CCF" w:rsidRPr="00B86545">
        <w:br/>
      </w:r>
      <w:r w:rsidR="006D6B72" w:rsidRPr="00B86545">
        <w:t xml:space="preserve">ceny towarów i usług </w:t>
      </w:r>
      <w:r w:rsidR="006D6B72" w:rsidRPr="00AA569E">
        <w:t xml:space="preserve">konsumpcyjnych </w:t>
      </w:r>
      <w:r w:rsidR="00D538E4" w:rsidRPr="00AA569E">
        <w:t>wzros</w:t>
      </w:r>
      <w:r w:rsidR="006D6B72" w:rsidRPr="00AA569E">
        <w:t>ły</w:t>
      </w:r>
      <w:r w:rsidR="00D538E4" w:rsidRPr="00AA569E">
        <w:t xml:space="preserve"> </w:t>
      </w:r>
      <w:r w:rsidR="00917CCF" w:rsidRPr="00AA569E">
        <w:br/>
      </w:r>
      <w:r w:rsidR="006D6B72" w:rsidRPr="00AA569E">
        <w:t>o</w:t>
      </w:r>
      <w:r w:rsidR="00D538E4" w:rsidRPr="00AA569E">
        <w:t xml:space="preserve"> </w:t>
      </w:r>
      <w:r w:rsidR="003077B5" w:rsidRPr="00AA569E">
        <w:t>2,6</w:t>
      </w:r>
      <w:r w:rsidR="00D538E4" w:rsidRPr="00AA569E">
        <w:t>% (w tym</w:t>
      </w:r>
      <w:r w:rsidR="00AA569E" w:rsidRPr="00AA569E">
        <w:t xml:space="preserve"> usług </w:t>
      </w:r>
      <w:r w:rsidR="00D538E4" w:rsidRPr="00AA569E">
        <w:t>–</w:t>
      </w:r>
      <w:r w:rsidR="00B94737" w:rsidRPr="00AA569E">
        <w:t xml:space="preserve"> </w:t>
      </w:r>
      <w:r w:rsidR="00D538E4" w:rsidRPr="00AA569E">
        <w:t>o </w:t>
      </w:r>
      <w:r w:rsidR="00A27522">
        <w:t>4</w:t>
      </w:r>
      <w:r w:rsidR="00AA569E" w:rsidRPr="00AA569E">
        <w:t>,</w:t>
      </w:r>
      <w:r w:rsidR="00A27522">
        <w:t>8</w:t>
      </w:r>
      <w:r w:rsidR="00D538E4" w:rsidRPr="00AA569E">
        <w:t>% i </w:t>
      </w:r>
      <w:r w:rsidR="00AA569E" w:rsidRPr="00AA569E">
        <w:t>towarów</w:t>
      </w:r>
      <w:r w:rsidR="00EB73D7" w:rsidRPr="00AA569E">
        <w:t xml:space="preserve"> </w:t>
      </w:r>
      <w:r w:rsidR="00A27522">
        <w:t>– o 1</w:t>
      </w:r>
      <w:r w:rsidR="00D538E4" w:rsidRPr="00AA569E">
        <w:t>,</w:t>
      </w:r>
      <w:r w:rsidR="00A27522">
        <w:t>8</w:t>
      </w:r>
      <w:r w:rsidR="00D538E4" w:rsidRPr="00AA569E">
        <w:t>%).</w:t>
      </w:r>
    </w:p>
    <w:p w:rsidR="00A27522" w:rsidRDefault="00A27522" w:rsidP="00CF08EF">
      <w:pPr>
        <w:pStyle w:val="LID"/>
      </w:pPr>
    </w:p>
    <w:p w:rsidR="00A27522" w:rsidRPr="00A27522" w:rsidRDefault="00A27522" w:rsidP="00A27522">
      <w:pPr>
        <w:pStyle w:val="tytuwykresu"/>
        <w:rPr>
          <w:bCs/>
          <w:shd w:val="clear" w:color="auto" w:fill="FFFFFF"/>
        </w:rPr>
      </w:pPr>
      <w:r w:rsidRPr="006D5C42">
        <w:t>Tablica 1.</w:t>
      </w:r>
      <w:r w:rsidRPr="006D5C42">
        <w:rPr>
          <w:shd w:val="clear" w:color="auto" w:fill="FFFFFF"/>
        </w:rPr>
        <w:t xml:space="preserve"> </w:t>
      </w:r>
      <w:r w:rsidRPr="006D5C42">
        <w:rPr>
          <w:bCs/>
          <w:shd w:val="clear" w:color="auto" w:fill="FFFFFF"/>
        </w:rPr>
        <w:t>Wskaźniki cen towarów i usług konsumpcyjnych w</w:t>
      </w:r>
      <w:r w:rsidR="005077D1">
        <w:rPr>
          <w:bCs/>
          <w:shd w:val="clear" w:color="auto" w:fill="FFFFFF"/>
        </w:rPr>
        <w:t>e</w:t>
      </w:r>
      <w:r w:rsidRPr="006D5C42">
        <w:rPr>
          <w:bCs/>
          <w:shd w:val="clear" w:color="auto" w:fill="FFFFFF"/>
        </w:rPr>
        <w:t xml:space="preserve"> </w:t>
      </w:r>
      <w:r w:rsidR="005077D1">
        <w:rPr>
          <w:bCs/>
          <w:shd w:val="clear" w:color="auto" w:fill="FFFFFF"/>
        </w:rPr>
        <w:t>wrześniu</w:t>
      </w:r>
      <w:r w:rsidRPr="006D5C42">
        <w:t xml:space="preserve"> 2019 </w:t>
      </w:r>
      <w:r w:rsidRPr="006D5C42">
        <w:rPr>
          <w:bCs/>
          <w:shd w:val="clear" w:color="auto" w:fill="FFFFFF"/>
        </w:rPr>
        <w:t>r.</w:t>
      </w:r>
    </w:p>
    <w:tbl>
      <w:tblPr>
        <w:tblStyle w:val="Siatkatabelijasna11"/>
        <w:tblpPr w:leftFromText="141" w:rightFromText="141" w:vertAnchor="text" w:horzAnchor="margin" w:tblpY="5"/>
        <w:tblW w:w="8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492"/>
          <w:insideV w:val="single" w:sz="4" w:space="0" w:color="212492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2"/>
        <w:gridCol w:w="823"/>
        <w:gridCol w:w="851"/>
        <w:gridCol w:w="850"/>
        <w:gridCol w:w="851"/>
        <w:gridCol w:w="850"/>
        <w:gridCol w:w="851"/>
        <w:gridCol w:w="945"/>
      </w:tblGrid>
      <w:tr w:rsidR="00A27522" w:rsidRPr="00876337" w:rsidTr="00343BBC">
        <w:trPr>
          <w:cantSplit/>
          <w:trHeight w:val="367"/>
        </w:trPr>
        <w:tc>
          <w:tcPr>
            <w:tcW w:w="2262" w:type="dxa"/>
            <w:vMerge w:val="restart"/>
            <w:vAlign w:val="center"/>
          </w:tcPr>
          <w:p w:rsidR="00A27522" w:rsidRPr="00C522A5" w:rsidRDefault="00A27522" w:rsidP="00A27522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ascii="Fira Sans" w:hAnsi="Fira Sans" w:cs="Arial"/>
                <w:b/>
                <w:bCs w:val="0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WYSZCZEGÓLNIENIE</w:t>
            </w:r>
          </w:p>
        </w:tc>
        <w:tc>
          <w:tcPr>
            <w:tcW w:w="2524" w:type="dxa"/>
            <w:gridSpan w:val="3"/>
            <w:vAlign w:val="center"/>
          </w:tcPr>
          <w:p w:rsidR="00A27522" w:rsidRPr="00C522A5" w:rsidRDefault="005077D1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IX</w:t>
            </w:r>
            <w:r w:rsidR="00A27522"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1701" w:type="dxa"/>
            <w:gridSpan w:val="2"/>
          </w:tcPr>
          <w:p w:rsidR="00A27522" w:rsidRPr="00C522A5" w:rsidRDefault="00A27522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>V</w:t>
            </w:r>
            <w:r w:rsidR="005077D1">
              <w:rPr>
                <w:rFonts w:ascii="Fira Sans" w:hAnsi="Fira Sans"/>
                <w:color w:val="000000" w:themeColor="text1"/>
                <w:sz w:val="16"/>
                <w:szCs w:val="16"/>
              </w:rPr>
              <w:t>II-IX</w:t>
            </w:r>
            <w:r w:rsidRPr="00C522A5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851" w:type="dxa"/>
          </w:tcPr>
          <w:p w:rsidR="00A27522" w:rsidRPr="00C522A5" w:rsidRDefault="005077D1" w:rsidP="00A27522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>
              <w:rPr>
                <w:rFonts w:ascii="Fira Sans" w:hAnsi="Fira Sans"/>
                <w:color w:val="000000" w:themeColor="text1"/>
                <w:sz w:val="16"/>
                <w:szCs w:val="16"/>
              </w:rPr>
              <w:t>I-IX</w:t>
            </w:r>
            <w:r w:rsidR="00A27522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 2019</w:t>
            </w:r>
          </w:p>
        </w:tc>
        <w:tc>
          <w:tcPr>
            <w:tcW w:w="945" w:type="dxa"/>
            <w:vMerge w:val="restart"/>
            <w:vAlign w:val="center"/>
          </w:tcPr>
          <w:p w:rsidR="00A27522" w:rsidRPr="00C522A5" w:rsidRDefault="00A27522" w:rsidP="00A27522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6"/>
                <w:szCs w:val="16"/>
              </w:rPr>
            </w:pPr>
            <w:r w:rsidRPr="00C522A5">
              <w:rPr>
                <w:rFonts w:ascii="Fira Sans" w:hAnsi="Fira Sans" w:cs="Arial"/>
                <w:color w:val="000000" w:themeColor="text1"/>
                <w:sz w:val="16"/>
                <w:szCs w:val="16"/>
              </w:rPr>
              <w:t>WPŁYW ZMIAN</w:t>
            </w:r>
          </w:p>
          <w:p w:rsidR="00A27522" w:rsidRPr="00D81F2B" w:rsidRDefault="00A27522" w:rsidP="00A27522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5"/>
                <w:szCs w:val="15"/>
              </w:rPr>
            </w:pPr>
            <w:r w:rsidRPr="00D81F2B">
              <w:rPr>
                <w:rFonts w:ascii="Fira Sans" w:hAnsi="Fira Sans" w:cs="Arial"/>
                <w:color w:val="000000" w:themeColor="text1"/>
                <w:sz w:val="15"/>
                <w:szCs w:val="15"/>
              </w:rPr>
              <w:t>V</w:t>
            </w:r>
            <w:r w:rsidR="005077D1" w:rsidRPr="00D81F2B">
              <w:rPr>
                <w:rFonts w:ascii="Fira Sans" w:hAnsi="Fira Sans" w:cs="Arial"/>
                <w:color w:val="000000" w:themeColor="text1"/>
                <w:sz w:val="15"/>
                <w:szCs w:val="15"/>
              </w:rPr>
              <w:t>III</w:t>
            </w:r>
            <w:r w:rsidRPr="00D81F2B">
              <w:rPr>
                <w:rFonts w:ascii="Fira Sans" w:hAnsi="Fira Sans" w:cs="Arial"/>
                <w:color w:val="000000" w:themeColor="text1"/>
                <w:sz w:val="15"/>
                <w:szCs w:val="15"/>
              </w:rPr>
              <w:t xml:space="preserve"> 2019=</w:t>
            </w:r>
            <w:r w:rsidRPr="00D81F2B">
              <w:rPr>
                <w:rFonts w:ascii="Fira Sans" w:hAnsi="Fira Sans" w:cs="Arial"/>
                <w:color w:val="000000" w:themeColor="text1"/>
                <w:sz w:val="15"/>
                <w:szCs w:val="15"/>
              </w:rPr>
              <w:br/>
              <w:t>=100</w:t>
            </w:r>
          </w:p>
        </w:tc>
      </w:tr>
      <w:tr w:rsidR="00A27522" w:rsidRPr="00876337" w:rsidTr="00343BBC">
        <w:trPr>
          <w:cantSplit/>
          <w:trHeight w:val="57"/>
        </w:trPr>
        <w:tc>
          <w:tcPr>
            <w:tcW w:w="2262" w:type="dxa"/>
            <w:vMerge/>
            <w:tcBorders>
              <w:bottom w:val="single" w:sz="12" w:space="0" w:color="212492"/>
            </w:tcBorders>
            <w:vAlign w:val="center"/>
          </w:tcPr>
          <w:p w:rsidR="00A27522" w:rsidRPr="00876337" w:rsidRDefault="00A27522" w:rsidP="00A27522">
            <w:pPr>
              <w:pStyle w:val="Nagwek1"/>
              <w:tabs>
                <w:tab w:val="right" w:leader="dot" w:pos="4139"/>
              </w:tabs>
              <w:jc w:val="center"/>
              <w:outlineLvl w:val="0"/>
              <w:rPr>
                <w:rFonts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23" w:type="dxa"/>
            <w:tcBorders>
              <w:bottom w:val="single" w:sz="12" w:space="0" w:color="212492"/>
            </w:tcBorders>
            <w:vAlign w:val="center"/>
          </w:tcPr>
          <w:p w:rsidR="00A27522" w:rsidRPr="00D81F2B" w:rsidRDefault="005077D1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5"/>
                <w:szCs w:val="15"/>
              </w:rPr>
            </w:pP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IX</w:t>
            </w:r>
            <w:r w:rsidR="00A27522"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 xml:space="preserve"> 2018=</w:t>
            </w:r>
            <w:r w:rsidR="00A27522"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br/>
              <w:t>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:rsidR="00A27522" w:rsidRPr="00D81F2B" w:rsidRDefault="00A27522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5"/>
                <w:szCs w:val="15"/>
              </w:rPr>
            </w:pP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XII 2018=</w:t>
            </w: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br/>
              <w:t>=100</w:t>
            </w: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A27522" w:rsidRPr="00D81F2B" w:rsidRDefault="00A27522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5"/>
                <w:szCs w:val="15"/>
              </w:rPr>
            </w:pP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V</w:t>
            </w:r>
            <w:r w:rsidR="005077D1"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III</w:t>
            </w: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 xml:space="preserve"> 2019=</w:t>
            </w: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br/>
              <w:t>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  <w:vAlign w:val="center"/>
          </w:tcPr>
          <w:p w:rsidR="00A27522" w:rsidRPr="00D81F2B" w:rsidRDefault="00A27522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5"/>
                <w:szCs w:val="15"/>
              </w:rPr>
            </w:pP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V</w:t>
            </w:r>
            <w:r w:rsidR="005077D1"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II-IX</w:t>
            </w: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 xml:space="preserve"> 2018=100</w:t>
            </w:r>
          </w:p>
        </w:tc>
        <w:tc>
          <w:tcPr>
            <w:tcW w:w="850" w:type="dxa"/>
            <w:tcBorders>
              <w:bottom w:val="single" w:sz="12" w:space="0" w:color="212492"/>
            </w:tcBorders>
            <w:vAlign w:val="center"/>
          </w:tcPr>
          <w:p w:rsidR="00A27522" w:rsidRPr="00D81F2B" w:rsidRDefault="00A27522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5"/>
                <w:szCs w:val="15"/>
              </w:rPr>
            </w:pP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I</w:t>
            </w:r>
            <w:r w:rsidR="005077D1"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 xml:space="preserve">V-VI </w:t>
            </w: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2019=100</w:t>
            </w:r>
          </w:p>
        </w:tc>
        <w:tc>
          <w:tcPr>
            <w:tcW w:w="851" w:type="dxa"/>
            <w:tcBorders>
              <w:bottom w:val="single" w:sz="12" w:space="0" w:color="212492"/>
            </w:tcBorders>
          </w:tcPr>
          <w:p w:rsidR="00A27522" w:rsidRPr="00D81F2B" w:rsidRDefault="005077D1" w:rsidP="00A27522">
            <w:pPr>
              <w:pStyle w:val="Nagwek1"/>
              <w:tabs>
                <w:tab w:val="right" w:leader="dot" w:pos="4139"/>
              </w:tabs>
              <w:spacing w:before="120" w:line="240" w:lineRule="exact"/>
              <w:jc w:val="center"/>
              <w:outlineLvl w:val="0"/>
              <w:rPr>
                <w:rFonts w:ascii="Fira Sans" w:hAnsi="Fira Sans" w:cs="Arial"/>
                <w:color w:val="000000" w:themeColor="text1"/>
                <w:sz w:val="15"/>
                <w:szCs w:val="15"/>
              </w:rPr>
            </w:pPr>
            <w:r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>I-IX</w:t>
            </w:r>
            <w:r w:rsidR="00A27522" w:rsidRPr="00D81F2B">
              <w:rPr>
                <w:rFonts w:ascii="Fira Sans" w:hAnsi="Fira Sans"/>
                <w:color w:val="000000" w:themeColor="text1"/>
                <w:sz w:val="15"/>
                <w:szCs w:val="15"/>
              </w:rPr>
              <w:t xml:space="preserve"> 2018=100</w:t>
            </w:r>
          </w:p>
        </w:tc>
        <w:tc>
          <w:tcPr>
            <w:tcW w:w="945" w:type="dxa"/>
            <w:vMerge/>
            <w:tcBorders>
              <w:bottom w:val="single" w:sz="12" w:space="0" w:color="212492"/>
            </w:tcBorders>
            <w:vAlign w:val="center"/>
          </w:tcPr>
          <w:p w:rsidR="00A27522" w:rsidRPr="00876337" w:rsidRDefault="00A27522" w:rsidP="00A27522">
            <w:pPr>
              <w:pStyle w:val="Nagwek3"/>
              <w:spacing w:before="120" w:after="120"/>
              <w:jc w:val="center"/>
              <w:outlineLvl w:val="2"/>
              <w:rPr>
                <w:rFonts w:ascii="Fira Sans" w:hAnsi="Fira Sans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B42DDD" w:rsidRPr="00876337" w:rsidTr="00343BBC">
        <w:trPr>
          <w:cantSplit/>
          <w:trHeight w:val="57"/>
        </w:trPr>
        <w:tc>
          <w:tcPr>
            <w:tcW w:w="2262" w:type="dxa"/>
            <w:tcBorders>
              <w:top w:val="single" w:sz="12" w:space="0" w:color="212492"/>
              <w:bottom w:val="single" w:sz="4" w:space="0" w:color="212492"/>
            </w:tcBorders>
            <w:vAlign w:val="center"/>
          </w:tcPr>
          <w:p w:rsidR="00B42DDD" w:rsidRPr="000B5393" w:rsidRDefault="00B42DDD" w:rsidP="00B42DDD">
            <w:pPr>
              <w:pStyle w:val="Nagwek5"/>
              <w:tabs>
                <w:tab w:val="right" w:leader="dot" w:pos="4156"/>
              </w:tabs>
              <w:spacing w:before="0"/>
              <w:contextualSpacing/>
              <w:outlineLvl w:val="4"/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b/>
                <w:color w:val="000000" w:themeColor="text1"/>
                <w:sz w:val="16"/>
                <w:szCs w:val="16"/>
              </w:rPr>
              <w:t>OGÓŁEM</w:t>
            </w:r>
          </w:p>
        </w:tc>
        <w:tc>
          <w:tcPr>
            <w:tcW w:w="823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b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b/>
                <w:color w:val="000000" w:themeColor="text1"/>
                <w:sz w:val="16"/>
                <w:szCs w:val="16"/>
              </w:rPr>
              <w:t>102,2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b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b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850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b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1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b/>
                <w:color w:val="000000" w:themeColor="text1"/>
                <w:sz w:val="16"/>
                <w:szCs w:val="16"/>
              </w:rPr>
              <w:t>102,1</w:t>
            </w:r>
          </w:p>
        </w:tc>
        <w:tc>
          <w:tcPr>
            <w:tcW w:w="945" w:type="dxa"/>
            <w:tcBorders>
              <w:top w:val="single" w:sz="12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</w:tr>
      <w:tr w:rsidR="00B42DDD" w:rsidRPr="00876337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Żywność i napoje </w:t>
            </w: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 xml:space="preserve">bezalkoholowe  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106,3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106,7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-0,05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pStyle w:val="Nagwek9"/>
              <w:tabs>
                <w:tab w:val="right" w:leader="dot" w:pos="4156"/>
              </w:tabs>
              <w:spacing w:before="0"/>
              <w:contextualSpacing/>
              <w:outlineLvl w:val="8"/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t xml:space="preserve">Napoje alkoholowe </w:t>
            </w:r>
            <w:r w:rsidRPr="000B5393">
              <w:rPr>
                <w:rFonts w:ascii="Fira Sans" w:hAnsi="Fira Sans"/>
                <w:i w:val="0"/>
                <w:color w:val="000000" w:themeColor="text1"/>
                <w:sz w:val="16"/>
                <w:szCs w:val="16"/>
              </w:rPr>
              <w:br/>
              <w:t>i wyroby tytoniowe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Odzież i obuwie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98,8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96,5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98,6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95,5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97,9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0,12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pStyle w:val="Nagwek2"/>
              <w:tabs>
                <w:tab w:val="right" w:leader="dot" w:pos="4156"/>
              </w:tabs>
              <w:spacing w:before="0"/>
              <w:contextualSpacing/>
              <w:outlineLvl w:val="1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0B5393">
              <w:rPr>
                <w:rFonts w:ascii="Fira Sans" w:hAnsi="Fira Sans"/>
                <w:color w:val="000000" w:themeColor="text1"/>
                <w:sz w:val="16"/>
                <w:szCs w:val="16"/>
              </w:rPr>
              <w:t xml:space="preserve">Użytkowanie mieszkania </w:t>
            </w:r>
            <w:r w:rsidRPr="000B5393">
              <w:rPr>
                <w:rFonts w:ascii="Fira Sans" w:hAnsi="Fira Sans"/>
                <w:color w:val="000000" w:themeColor="text1"/>
                <w:sz w:val="16"/>
                <w:szCs w:val="16"/>
              </w:rPr>
              <w:br/>
              <w:t>lub domu i nośniki energii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0,06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Wyposażenie mieszkania i prowadzenie gospoda</w:t>
            </w: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r</w:t>
            </w: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stwa domowego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B42DDD" w:rsidRDefault="00B42DDD" w:rsidP="003A7D8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B42DDD" w:rsidRDefault="00B42DDD" w:rsidP="003A7D8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42DDD" w:rsidRPr="00B42DDD" w:rsidRDefault="00B42DDD" w:rsidP="003A7D8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99,8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42DDD" w:rsidRPr="00B42DDD" w:rsidRDefault="00B42DDD" w:rsidP="003A7D8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42DDD" w:rsidRPr="00B42DDD" w:rsidRDefault="00B42DDD" w:rsidP="003A7D8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center"/>
          </w:tcPr>
          <w:p w:rsidR="00B42DDD" w:rsidRPr="00B42DDD" w:rsidRDefault="00B42DDD" w:rsidP="003A7D8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100,8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B42DDD" w:rsidRDefault="00B42DDD" w:rsidP="003A7D83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-0,01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 xml:space="preserve">Zdrowie 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103,1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0,04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Transport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98,1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97,4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99,5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98,3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-0,27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Łączność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99,3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99,7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98,2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-0,03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Rekreacja i kultura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99,1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102,8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102,4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-0,06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Edukacja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103,4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103,2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Restauracje i hotele</w:t>
            </w:r>
          </w:p>
        </w:tc>
        <w:tc>
          <w:tcPr>
            <w:tcW w:w="823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104,8</w:t>
            </w:r>
          </w:p>
        </w:tc>
        <w:tc>
          <w:tcPr>
            <w:tcW w:w="850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212492"/>
              <w:bottom w:val="single" w:sz="4" w:space="0" w:color="212492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104,1</w:t>
            </w:r>
          </w:p>
        </w:tc>
        <w:tc>
          <w:tcPr>
            <w:tcW w:w="945" w:type="dxa"/>
            <w:tcBorders>
              <w:top w:val="single" w:sz="4" w:space="0" w:color="212492"/>
              <w:bottom w:val="single" w:sz="4" w:space="0" w:color="212492"/>
            </w:tcBorders>
            <w:shd w:val="clear" w:color="auto" w:fill="auto"/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0,05</w:t>
            </w:r>
          </w:p>
        </w:tc>
      </w:tr>
      <w:tr w:rsidR="00B42DDD" w:rsidRPr="00B42DDD" w:rsidTr="00343BBC">
        <w:trPr>
          <w:cantSplit/>
          <w:trHeight w:val="57"/>
        </w:trPr>
        <w:tc>
          <w:tcPr>
            <w:tcW w:w="2262" w:type="dxa"/>
            <w:tcBorders>
              <w:top w:val="single" w:sz="4" w:space="0" w:color="212492"/>
              <w:bottom w:val="nil"/>
            </w:tcBorders>
            <w:vAlign w:val="center"/>
          </w:tcPr>
          <w:p w:rsidR="00B42DDD" w:rsidRPr="000B5393" w:rsidRDefault="00B42DDD" w:rsidP="00B42DDD">
            <w:pPr>
              <w:tabs>
                <w:tab w:val="right" w:leader="dot" w:pos="4156"/>
              </w:tabs>
              <w:contextualSpacing/>
              <w:rPr>
                <w:rFonts w:cstheme="majorBidi"/>
                <w:bCs/>
                <w:color w:val="000000" w:themeColor="text1"/>
                <w:sz w:val="16"/>
                <w:szCs w:val="16"/>
              </w:rPr>
            </w:pPr>
            <w:r w:rsidRPr="000B5393">
              <w:rPr>
                <w:rFonts w:cstheme="majorBidi"/>
                <w:bCs/>
                <w:color w:val="000000" w:themeColor="text1"/>
                <w:sz w:val="16"/>
                <w:szCs w:val="16"/>
              </w:rPr>
              <w:t>Inne towary i usługi</w:t>
            </w:r>
          </w:p>
        </w:tc>
        <w:tc>
          <w:tcPr>
            <w:tcW w:w="823" w:type="dxa"/>
            <w:tcBorders>
              <w:top w:val="single" w:sz="4" w:space="0" w:color="212492"/>
              <w:bottom w:val="nil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212492"/>
              <w:bottom w:val="nil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212492"/>
              <w:bottom w:val="nil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101,1</w:t>
            </w:r>
          </w:p>
        </w:tc>
        <w:tc>
          <w:tcPr>
            <w:tcW w:w="945" w:type="dxa"/>
            <w:tcBorders>
              <w:top w:val="single" w:sz="4" w:space="0" w:color="212492"/>
              <w:bottom w:val="nil"/>
            </w:tcBorders>
            <w:vAlign w:val="bottom"/>
          </w:tcPr>
          <w:p w:rsidR="00B42DDD" w:rsidRPr="00B42DDD" w:rsidRDefault="00B42DDD" w:rsidP="00B42DDD">
            <w:pPr>
              <w:jc w:val="right"/>
              <w:rPr>
                <w:rFonts w:cs="Arial"/>
                <w:color w:val="000000" w:themeColor="text1"/>
                <w:sz w:val="16"/>
                <w:szCs w:val="16"/>
              </w:rPr>
            </w:pPr>
            <w:r w:rsidRPr="00B42DDD">
              <w:rPr>
                <w:rFonts w:cs="Arial"/>
                <w:color w:val="000000" w:themeColor="text1"/>
                <w:sz w:val="16"/>
                <w:szCs w:val="16"/>
              </w:rPr>
              <w:t>0,07</w:t>
            </w:r>
          </w:p>
        </w:tc>
      </w:tr>
    </w:tbl>
    <w:p w:rsidR="00A07F00" w:rsidRPr="00CD352D" w:rsidRDefault="000B5393" w:rsidP="00296EB3">
      <w:pPr>
        <w:spacing w:line="240" w:lineRule="auto"/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</w:pPr>
      <w:r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lastRenderedPageBreak/>
        <w:t>Wpływ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zmian cen na wskaźnik</w:t>
      </w:r>
      <w:r w:rsidR="00B97152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cen</w:t>
      </w:r>
      <w:r w:rsidR="00A07F00" w:rsidRPr="00CD352D">
        <w:rPr>
          <w:rFonts w:ascii="Fira Sans SemiBold" w:eastAsia="Times New Roman" w:hAnsi="Fira Sans SemiBold" w:cs="Times New Roman"/>
          <w:bCs/>
          <w:color w:val="001D77"/>
          <w:szCs w:val="24"/>
          <w:shd w:val="clear" w:color="auto" w:fill="FFFFFF"/>
          <w:lang w:eastAsia="pl-PL"/>
        </w:rPr>
        <w:t xml:space="preserve"> towarów i usług konsumpcyjnych ogółem</w:t>
      </w:r>
    </w:p>
    <w:p w:rsidR="00A07F00" w:rsidRPr="00C11CBD" w:rsidRDefault="00A07F00" w:rsidP="00285768">
      <w:r w:rsidRPr="00A60AEE">
        <w:t>W</w:t>
      </w:r>
      <w:r w:rsidR="00A60AEE" w:rsidRPr="00A60AEE">
        <w:t>e</w:t>
      </w:r>
      <w:r w:rsidRPr="00A60AEE">
        <w:t xml:space="preserve"> </w:t>
      </w:r>
      <w:r w:rsidR="00A60AEE" w:rsidRPr="00A60AEE">
        <w:t>wrześniu</w:t>
      </w:r>
      <w:r w:rsidRPr="00A60AEE">
        <w:t xml:space="preserve"> br. w porównaniu z poprzednim miesiącem największy wpływ na wskaźnik cen </w:t>
      </w:r>
      <w:r w:rsidR="00917CCF" w:rsidRPr="00A60AEE">
        <w:br/>
      </w:r>
      <w:r w:rsidRPr="00A60AEE">
        <w:t xml:space="preserve">towarów i usług konsumpcyjnych ogółem miały </w:t>
      </w:r>
      <w:r w:rsidR="00A60AEE" w:rsidRPr="00A60AEE">
        <w:t>niższe</w:t>
      </w:r>
      <w:r w:rsidRPr="00A60AEE">
        <w:t xml:space="preserve"> ceny </w:t>
      </w:r>
      <w:r w:rsidR="00F04C11" w:rsidRPr="00A60AEE">
        <w:t xml:space="preserve">w zakresie </w:t>
      </w:r>
      <w:r w:rsidR="00A60AEE" w:rsidRPr="00A60AEE">
        <w:t xml:space="preserve">transportu </w:t>
      </w:r>
      <w:r w:rsidR="00FA0677" w:rsidRPr="00C11CBD">
        <w:t>(o </w:t>
      </w:r>
      <w:r w:rsidR="00A60AEE" w:rsidRPr="00C11CBD">
        <w:t>2,6</w:t>
      </w:r>
      <w:r w:rsidR="006920EA" w:rsidRPr="00C11CBD">
        <w:t>%)</w:t>
      </w:r>
      <w:r w:rsidR="00BB6447" w:rsidRPr="00C11CBD">
        <w:t xml:space="preserve">, </w:t>
      </w:r>
      <w:r w:rsidR="00C11CBD" w:rsidRPr="00C11CBD">
        <w:t xml:space="preserve">oraz </w:t>
      </w:r>
      <w:r w:rsidR="00A60AEE" w:rsidRPr="00C11CBD">
        <w:t>rekreacji i kultury (o 0,9</w:t>
      </w:r>
      <w:r w:rsidR="006920EA" w:rsidRPr="00C11CBD">
        <w:t>%)</w:t>
      </w:r>
      <w:r w:rsidR="00B611C1" w:rsidRPr="00C11CBD">
        <w:t xml:space="preserve">, </w:t>
      </w:r>
      <w:r w:rsidRPr="00C11CBD">
        <w:t xml:space="preserve">które </w:t>
      </w:r>
      <w:r w:rsidR="00A60AEE" w:rsidRPr="00C11CBD">
        <w:t>obniżyły</w:t>
      </w:r>
      <w:r w:rsidR="00B611C1" w:rsidRPr="00C11CBD">
        <w:t xml:space="preserve"> wskaźnik odpowi</w:t>
      </w:r>
      <w:r w:rsidR="00A60AEE" w:rsidRPr="00C11CBD">
        <w:t>ednio o 0,27</w:t>
      </w:r>
      <w:r w:rsidR="00DE64C5" w:rsidRPr="00C11CBD">
        <w:t xml:space="preserve"> p. proc.</w:t>
      </w:r>
      <w:r w:rsidR="008C1A52">
        <w:t xml:space="preserve"> </w:t>
      </w:r>
      <w:r w:rsidR="00030ACD">
        <w:t>i </w:t>
      </w:r>
      <w:r w:rsidR="0074537D" w:rsidRPr="00C11CBD">
        <w:t>0,0</w:t>
      </w:r>
      <w:r w:rsidR="00A60AEE" w:rsidRPr="00C11CBD">
        <w:t>6</w:t>
      </w:r>
      <w:r w:rsidR="003A7D83">
        <w:t> </w:t>
      </w:r>
      <w:r w:rsidR="00DE64C5" w:rsidRPr="00C11CBD">
        <w:t>p. </w:t>
      </w:r>
      <w:r w:rsidR="00B611C1" w:rsidRPr="00C11CBD">
        <w:t xml:space="preserve">proc. </w:t>
      </w:r>
      <w:r w:rsidR="00A60AEE" w:rsidRPr="00C11CBD">
        <w:t>Wyższe</w:t>
      </w:r>
      <w:r w:rsidRPr="00C11CBD">
        <w:t xml:space="preserve"> ceny </w:t>
      </w:r>
      <w:r w:rsidR="00B611C1" w:rsidRPr="00C11CBD">
        <w:t xml:space="preserve">odzieży i obuwia </w:t>
      </w:r>
      <w:r w:rsidR="00486EE6" w:rsidRPr="00C11CBD">
        <w:t xml:space="preserve">(o </w:t>
      </w:r>
      <w:r w:rsidR="00A60AEE" w:rsidRPr="00C11CBD">
        <w:t>2,6</w:t>
      </w:r>
      <w:r w:rsidR="00486EE6" w:rsidRPr="00C11CBD">
        <w:t xml:space="preserve">%) </w:t>
      </w:r>
      <w:r w:rsidR="00C11CBD" w:rsidRPr="00C11CBD">
        <w:t xml:space="preserve">oraz w zakresie </w:t>
      </w:r>
      <w:r w:rsidR="008C1A52">
        <w:t>mieszkania (o 0,2%) podwyższyły</w:t>
      </w:r>
      <w:r w:rsidRPr="00C11CBD">
        <w:t xml:space="preserve"> ten wskaźnik</w:t>
      </w:r>
      <w:r w:rsidR="00C11CBD" w:rsidRPr="00C11CBD">
        <w:t xml:space="preserve"> odpowiednio</w:t>
      </w:r>
      <w:r w:rsidRPr="00C11CBD">
        <w:t xml:space="preserve"> </w:t>
      </w:r>
      <w:r w:rsidR="00C11CBD" w:rsidRPr="00C11CBD">
        <w:t>o 0,12</w:t>
      </w:r>
      <w:r w:rsidR="00B611C1" w:rsidRPr="00C11CBD">
        <w:t xml:space="preserve"> p. proc.</w:t>
      </w:r>
      <w:r w:rsidR="00C11CBD" w:rsidRPr="00C11CBD">
        <w:t xml:space="preserve"> i 0,05 p. proc.</w:t>
      </w:r>
      <w:r w:rsidR="00917CCF" w:rsidRPr="00C11CBD">
        <w:br/>
      </w:r>
      <w:r w:rsidRPr="00C11CBD">
        <w:t xml:space="preserve">W porównaniu z miesiącem analogicznym poprzedniego roku wyższe ceny </w:t>
      </w:r>
      <w:r w:rsidR="00EC2274" w:rsidRPr="00C11CBD">
        <w:t>żywn</w:t>
      </w:r>
      <w:r w:rsidR="00EC2274" w:rsidRPr="00C11CBD">
        <w:t>o</w:t>
      </w:r>
      <w:r w:rsidR="00EC2274" w:rsidRPr="00C11CBD">
        <w:t>ści</w:t>
      </w:r>
      <w:r w:rsidR="005762F6" w:rsidRPr="00C11CBD">
        <w:t xml:space="preserve"> </w:t>
      </w:r>
      <w:r w:rsidRPr="00C11CBD">
        <w:t>(o </w:t>
      </w:r>
      <w:r w:rsidR="00C11CBD" w:rsidRPr="00C11CBD">
        <w:t>6,8</w:t>
      </w:r>
      <w:r w:rsidR="00674A8B" w:rsidRPr="00C11CBD">
        <w:t>%)</w:t>
      </w:r>
      <w:r w:rsidR="00C11CBD" w:rsidRPr="00C11CBD">
        <w:t xml:space="preserve"> oraz </w:t>
      </w:r>
      <w:r w:rsidR="00AB27B9">
        <w:t xml:space="preserve">w zakresie </w:t>
      </w:r>
      <w:r w:rsidR="0094622C" w:rsidRPr="00C11CBD">
        <w:t xml:space="preserve">mieszkania </w:t>
      </w:r>
      <w:r w:rsidRPr="00C11CBD">
        <w:t>(o</w:t>
      </w:r>
      <w:r w:rsidR="00C11CBD" w:rsidRPr="00C11CBD">
        <w:t xml:space="preserve"> 1,6%) </w:t>
      </w:r>
      <w:r w:rsidRPr="00C11CBD">
        <w:t>pod</w:t>
      </w:r>
      <w:r w:rsidRPr="00C11CBD">
        <w:softHyphen/>
      </w:r>
      <w:r w:rsidR="00D401C9" w:rsidRPr="00C11CBD">
        <w:t>wyższyły</w:t>
      </w:r>
      <w:r w:rsidRPr="00C11CBD">
        <w:t xml:space="preserve"> wskaźnik </w:t>
      </w:r>
      <w:r w:rsidR="00E82C7E" w:rsidRPr="00C11CBD">
        <w:t>cen towarów i </w:t>
      </w:r>
      <w:r w:rsidR="00D401C9" w:rsidRPr="00C11CBD">
        <w:t>usług konsumpcy</w:t>
      </w:r>
      <w:r w:rsidR="00D401C9" w:rsidRPr="00C11CBD">
        <w:t>j</w:t>
      </w:r>
      <w:r w:rsidR="00D401C9" w:rsidRPr="00C11CBD">
        <w:t xml:space="preserve">nych </w:t>
      </w:r>
      <w:r w:rsidRPr="00C11CBD">
        <w:t>odpowiednio o </w:t>
      </w:r>
      <w:r w:rsidR="00C11CBD" w:rsidRPr="00C11CBD">
        <w:t>1,51</w:t>
      </w:r>
      <w:r w:rsidRPr="00C11CBD">
        <w:t xml:space="preserve"> p. proc.</w:t>
      </w:r>
      <w:r w:rsidR="00C11CBD" w:rsidRPr="00C11CBD">
        <w:t xml:space="preserve"> i </w:t>
      </w:r>
      <w:r w:rsidR="009D1423" w:rsidRPr="00C11CBD">
        <w:t>0,</w:t>
      </w:r>
      <w:r w:rsidR="00C11CBD" w:rsidRPr="00C11CBD">
        <w:t>40</w:t>
      </w:r>
      <w:r w:rsidR="00FA0677" w:rsidRPr="00C11CBD">
        <w:t> </w:t>
      </w:r>
      <w:r w:rsidR="009D1423" w:rsidRPr="00C11CBD">
        <w:t>p. proc</w:t>
      </w:r>
      <w:r w:rsidRPr="00C11CBD">
        <w:t xml:space="preserve">. </w:t>
      </w:r>
      <w:r w:rsidRPr="003A7D83">
        <w:rPr>
          <w:spacing w:val="-2"/>
        </w:rPr>
        <w:t>Niższe ceny</w:t>
      </w:r>
      <w:r w:rsidR="00C11CBD" w:rsidRPr="003A7D83">
        <w:rPr>
          <w:spacing w:val="-2"/>
        </w:rPr>
        <w:t xml:space="preserve"> w zakresie transportu</w:t>
      </w:r>
      <w:r w:rsidRPr="003A7D83">
        <w:rPr>
          <w:spacing w:val="-2"/>
        </w:rPr>
        <w:t xml:space="preserve"> (o </w:t>
      </w:r>
      <w:r w:rsidR="00C11CBD" w:rsidRPr="003A7D83">
        <w:rPr>
          <w:spacing w:val="-2"/>
        </w:rPr>
        <w:t>1,7</w:t>
      </w:r>
      <w:r w:rsidR="00674A8B" w:rsidRPr="003A7D83">
        <w:rPr>
          <w:spacing w:val="-2"/>
        </w:rPr>
        <w:t>%)</w:t>
      </w:r>
      <w:r w:rsidR="003A7D83">
        <w:rPr>
          <w:spacing w:val="-2"/>
        </w:rPr>
        <w:t xml:space="preserve"> oraz </w:t>
      </w:r>
      <w:r w:rsidR="00C11CBD" w:rsidRPr="003A7D83">
        <w:rPr>
          <w:spacing w:val="-2"/>
        </w:rPr>
        <w:t>odzieży i obuwia</w:t>
      </w:r>
      <w:r w:rsidR="003405A4" w:rsidRPr="003A7D83">
        <w:rPr>
          <w:spacing w:val="-2"/>
        </w:rPr>
        <w:t xml:space="preserve"> (o 1,</w:t>
      </w:r>
      <w:r w:rsidR="00C11CBD" w:rsidRPr="003A7D83">
        <w:rPr>
          <w:spacing w:val="-2"/>
        </w:rPr>
        <w:t>2</w:t>
      </w:r>
      <w:r w:rsidR="003405A4" w:rsidRPr="003A7D83">
        <w:rPr>
          <w:spacing w:val="-2"/>
        </w:rPr>
        <w:t>%)</w:t>
      </w:r>
      <w:r w:rsidR="00674A8B" w:rsidRPr="003A7D83">
        <w:rPr>
          <w:spacing w:val="-2"/>
        </w:rPr>
        <w:t xml:space="preserve"> </w:t>
      </w:r>
      <w:r w:rsidRPr="003A7D83">
        <w:rPr>
          <w:spacing w:val="-2"/>
        </w:rPr>
        <w:t xml:space="preserve">obniżyły </w:t>
      </w:r>
      <w:r w:rsidR="00D401C9" w:rsidRPr="003A7D83">
        <w:rPr>
          <w:spacing w:val="-2"/>
        </w:rPr>
        <w:t xml:space="preserve">ten </w:t>
      </w:r>
      <w:r w:rsidRPr="003A7D83">
        <w:rPr>
          <w:spacing w:val="-2"/>
        </w:rPr>
        <w:t xml:space="preserve">wskaźnik </w:t>
      </w:r>
      <w:r w:rsidR="00CC6180" w:rsidRPr="003A7D83">
        <w:rPr>
          <w:spacing w:val="-2"/>
        </w:rPr>
        <w:t xml:space="preserve">odpowiednio </w:t>
      </w:r>
      <w:r w:rsidRPr="003A7D83">
        <w:rPr>
          <w:spacing w:val="-2"/>
        </w:rPr>
        <w:t>o 0,</w:t>
      </w:r>
      <w:r w:rsidR="00C11CBD" w:rsidRPr="003A7D83">
        <w:rPr>
          <w:spacing w:val="-2"/>
        </w:rPr>
        <w:t>1</w:t>
      </w:r>
      <w:r w:rsidR="00CC6180" w:rsidRPr="003A7D83">
        <w:rPr>
          <w:spacing w:val="-2"/>
        </w:rPr>
        <w:t>8</w:t>
      </w:r>
      <w:r w:rsidR="00D401C9" w:rsidRPr="003A7D83">
        <w:rPr>
          <w:spacing w:val="-2"/>
        </w:rPr>
        <w:t xml:space="preserve"> p. proc</w:t>
      </w:r>
      <w:r w:rsidR="00C11CBD" w:rsidRPr="003A7D83">
        <w:rPr>
          <w:spacing w:val="-2"/>
        </w:rPr>
        <w:t>. i 0,06</w:t>
      </w:r>
      <w:r w:rsidR="003A7D83" w:rsidRPr="003A7D83">
        <w:rPr>
          <w:spacing w:val="-2"/>
        </w:rPr>
        <w:t xml:space="preserve"> p. </w:t>
      </w:r>
      <w:r w:rsidR="00CC6180" w:rsidRPr="003A7D83">
        <w:rPr>
          <w:spacing w:val="-2"/>
        </w:rPr>
        <w:t>proc</w:t>
      </w:r>
      <w:r w:rsidRPr="003A7D83">
        <w:rPr>
          <w:spacing w:val="-2"/>
        </w:rPr>
        <w:t>.</w:t>
      </w:r>
    </w:p>
    <w:p w:rsidR="00A07F00" w:rsidRPr="00876337" w:rsidRDefault="00A07F00" w:rsidP="00C27D75">
      <w:pPr>
        <w:rPr>
          <w:highlight w:val="yellow"/>
        </w:rPr>
      </w:pPr>
    </w:p>
    <w:p w:rsidR="00A07F00" w:rsidRPr="00C27CB6" w:rsidRDefault="00BB4BE0" w:rsidP="00B617A5">
      <w:pPr>
        <w:pStyle w:val="tytuwykresu"/>
        <w:ind w:left="794" w:hanging="794"/>
        <w:rPr>
          <w:highlight w:val="yellow"/>
          <w:shd w:val="clear" w:color="auto" w:fill="FFFFFF"/>
        </w:rPr>
      </w:pPr>
      <w:r w:rsidRPr="00C110DB">
        <w:rPr>
          <w:noProof/>
          <w:lang w:val="en-GB" w:eastAsia="en-GB"/>
        </w:rPr>
        <w:drawing>
          <wp:anchor distT="0" distB="0" distL="114300" distR="114300" simplePos="0" relativeHeight="251807744" behindDoc="0" locked="0" layoutInCell="1" allowOverlap="1" wp14:anchorId="67B31E10" wp14:editId="5D954379">
            <wp:simplePos x="0" y="0"/>
            <wp:positionH relativeFrom="column">
              <wp:posOffset>-66675</wp:posOffset>
            </wp:positionH>
            <wp:positionV relativeFrom="paragraph">
              <wp:posOffset>433070</wp:posOffset>
            </wp:positionV>
            <wp:extent cx="5124450" cy="2590800"/>
            <wp:effectExtent l="0" t="0" r="0" b="0"/>
            <wp:wrapSquare wrapText="bothSides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F00" w:rsidRPr="00C110DB">
        <w:t xml:space="preserve">Wykres </w:t>
      </w:r>
      <w:r w:rsidR="00761070" w:rsidRPr="00C110DB">
        <w:t>1</w:t>
      </w:r>
      <w:r w:rsidR="00A07F00" w:rsidRPr="00C110DB">
        <w:t>.</w:t>
      </w:r>
      <w:r w:rsidR="00A07F00" w:rsidRPr="00C110DB">
        <w:rPr>
          <w:shd w:val="clear" w:color="auto" w:fill="FFFFFF"/>
        </w:rPr>
        <w:t xml:space="preserve"> Wpływ zmian cen wybranych grup t</w:t>
      </w:r>
      <w:r w:rsidR="00C11CBD" w:rsidRPr="00C110DB">
        <w:rPr>
          <w:shd w:val="clear" w:color="auto" w:fill="FFFFFF"/>
        </w:rPr>
        <w:t>owarów i usług konsumpcyjnych we wrześniu</w:t>
      </w:r>
      <w:r w:rsidR="00A07F00" w:rsidRPr="00C110DB">
        <w:rPr>
          <w:shd w:val="clear" w:color="auto" w:fill="FFFFFF"/>
        </w:rPr>
        <w:t xml:space="preserve"> 201</w:t>
      </w:r>
      <w:r w:rsidR="000B5393" w:rsidRPr="00C110DB">
        <w:rPr>
          <w:shd w:val="clear" w:color="auto" w:fill="FFFFFF"/>
        </w:rPr>
        <w:t>9</w:t>
      </w:r>
      <w:r w:rsidR="00A07F00" w:rsidRPr="00C110DB">
        <w:rPr>
          <w:shd w:val="clear" w:color="auto" w:fill="FFFFFF"/>
        </w:rPr>
        <w:t xml:space="preserve"> r.</w:t>
      </w:r>
      <w:r w:rsidR="0051646A" w:rsidRPr="00C110DB">
        <w:rPr>
          <w:noProof/>
          <w:shd w:val="clear" w:color="auto" w:fill="FFFFFF"/>
          <w:lang w:eastAsia="pl-PL"/>
        </w:rPr>
        <w:br/>
        <w:t>(z</w:t>
      </w:r>
      <w:r w:rsidR="0051646A" w:rsidRPr="00C110DB">
        <w:rPr>
          <w:shd w:val="clear" w:color="auto" w:fill="FFFFFF"/>
        </w:rPr>
        <w:t>miana w p. proc. do okresu poprzedniego)</w:t>
      </w:r>
    </w:p>
    <w:p w:rsidR="00F60B5D" w:rsidRPr="00C27CB6" w:rsidRDefault="00F60B5D" w:rsidP="00B617A5">
      <w:pPr>
        <w:pStyle w:val="tytuwykresu"/>
        <w:ind w:left="794" w:hanging="794"/>
        <w:rPr>
          <w:highlight w:val="yellow"/>
          <w:shd w:val="clear" w:color="auto" w:fill="FFFFFF"/>
        </w:rPr>
      </w:pPr>
    </w:p>
    <w:p w:rsidR="00C73B5E" w:rsidRPr="00C27CB6" w:rsidRDefault="00B617A5" w:rsidP="00B617A5">
      <w:pPr>
        <w:spacing w:before="0" w:after="160" w:line="259" w:lineRule="auto"/>
        <w:ind w:left="794" w:hanging="794"/>
        <w:rPr>
          <w:b/>
          <w:spacing w:val="-2"/>
          <w:sz w:val="18"/>
          <w:highlight w:val="yellow"/>
        </w:rPr>
      </w:pPr>
      <w:r w:rsidRPr="00666DED">
        <w:rPr>
          <w:noProof/>
          <w:lang w:val="en-GB" w:eastAsia="en-GB"/>
        </w:rPr>
        <w:drawing>
          <wp:anchor distT="0" distB="0" distL="114300" distR="114300" simplePos="0" relativeHeight="251805696" behindDoc="0" locked="0" layoutInCell="1" allowOverlap="1" wp14:anchorId="424A55DE" wp14:editId="38CD087B">
            <wp:simplePos x="0" y="0"/>
            <wp:positionH relativeFrom="column">
              <wp:posOffset>-66675</wp:posOffset>
            </wp:positionH>
            <wp:positionV relativeFrom="line">
              <wp:posOffset>447040</wp:posOffset>
            </wp:positionV>
            <wp:extent cx="5122545" cy="3599815"/>
            <wp:effectExtent l="0" t="0" r="0" b="0"/>
            <wp:wrapSquare wrapText="bothSides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F2B">
        <w:rPr>
          <w:b/>
          <w:noProof/>
          <w:spacing w:val="-2"/>
          <w:sz w:val="18"/>
          <w:lang w:val="en-GB" w:eastAsia="en-GB"/>
        </w:rPr>
        <w:pict>
          <v:shape id="_x0000_s1028" type="#_x0000_t202" style="position:absolute;left:0;text-align:left;margin-left:414.75pt;margin-top:529.5pt;width:135.85pt;height:168.75pt;z-index:-251532288;visibility:visible;mso-wrap-distance-top:3.6pt;mso-wrap-distance-bottom:3.6pt;mso-position-horizontal-relative:tex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4BzDwIAAAAEAAAOAAAAZHJzL2Uyb0RvYy54bWysU1Fv0zAQfkfiP1h+p0mjlq1R02lsDCEN&#10;mDT4AVfHaazZPmO7Tcav5+x0pRpviDxYdu783X3ffV5fjUazg/RBoW34fFZyJq3AVtldw398v3t3&#10;yVmIYFvQaGXDn2XgV5u3b9aDq2WFPepWekYgNtSDa3gfo6uLIoheGggzdNJSsENvINLR74rWw0Do&#10;RhdVWb4vBvSt8yhkCPT3dgryTcbvOinit64LMjLdcOot5tXndZvWYrOGeufB9Uoc24B/6MKAslT0&#10;BHULEdjeq7+gjBIeA3ZxJtAU2HVKyMyB2MzLV2wee3AycyFxgjvJFP4frPh6ePBMtTS7BWcWDM3o&#10;AbVkUT6FiINkVdJocKGm1EdHyXH8gCPlZ77B3aN4CsziTQ92J6+9x6GX0FKP83SzOLs64YQEsh2+&#10;YEu1YB8xA42dN0lAkoQROs3q+TQfOUYmUsmLalmtlpwJis0vy7KqlrkG1C/XnQ/xk0TD0qbhngyQ&#10;4eFwH2JqB+qXlFTN4p3SOptAWzY0fLUkyFcRoyJ5VCvTcKpJ3+SaxPKjbfPlCEpPeyqg7ZF2Yjpx&#10;juN2zCqf1Nxi+0w6eJwsSU+INj36X5wNZMeGh5978JIz/dmSlqv5YpH8mw+L5UVFB38e2Z5HwAqC&#10;anjkbNrexOz5idg1ad6prEYaztTJsWWyWRbp+CSSj8/POevPw938BgAA//8DAFBLAwQUAAYACAAA&#10;ACEAVs1gpeAAAAAOAQAADwAAAGRycy9kb3ducmV2LnhtbEyPzW7CMBCE75V4B2sr9VbspAVBiINQ&#10;q16LSn8kbiZekqjxOooNSd+e5VRuO5rR7Df5enStOGMfGk8akqkCgVR621Cl4evz7XEBIkRD1rSe&#10;UMMfBlgXk7vcZNYP9IHnXawEl1DIjIY6xi6TMpQ1OhOmvkNi7+h7ZyLLvpK2NwOXu1amSs2lMw3x&#10;h9p0+FJj+bs7OQ3f78f9z7PaVq9u1g1+VJLcUmr9cD9uViAijvE/DFd8RoeCmQ7+RDaIVsMiXc44&#10;yoZK57zqGklUkoI48PWk2JVFLm9nFBcAAAD//wMAUEsBAi0AFAAGAAgAAAAhALaDOJL+AAAA4QEA&#10;ABMAAAAAAAAAAAAAAAAAAAAAAFtDb250ZW50X1R5cGVzXS54bWxQSwECLQAUAAYACAAAACEAOP0h&#10;/9YAAACUAQAACwAAAAAAAAAAAAAAAAAvAQAAX3JlbHMvLnJlbHNQSwECLQAUAAYACAAAACEAif+A&#10;cw8CAAAABAAADgAAAAAAAAAAAAAAAAAuAgAAZHJzL2Uyb0RvYy54bWxQSwECLQAUAAYACAAAACEA&#10;Vs1gpeAAAAAOAQAADwAAAAAAAAAAAAAAAABpBAAAZHJzL2Rvd25yZXYueG1sUEsFBgAAAAAEAAQA&#10;8wAAAHYFAAAAAA==&#10;" filled="f" stroked="f">
            <v:textbox style="mso-next-textbox:#_x0000_s1028">
              <w:txbxContent>
                <w:p w:rsidR="00D81F2B" w:rsidRPr="00BF2F65" w:rsidRDefault="00D81F2B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W 2019 r., podobnie jak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latach poprzednich, naj-większy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udział wydatków w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obliczeniach wskaźnika cen towarów i usług konsumpcy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j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nych mają żywność i napoje bezalkoholowe (24,89%)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oraz towary i usługi związane z </w:t>
                  </w:r>
                  <w:r w:rsidRPr="00CD352D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użytkowaniem mieszkania lub domu i nośniki energii (19,17%)</w:t>
                  </w:r>
                </w:p>
              </w:txbxContent>
            </v:textbox>
            <w10:wrap type="tight" anchory="page"/>
          </v:shape>
        </w:pict>
      </w:r>
      <w:r w:rsidR="005F4399" w:rsidRPr="00666DED">
        <w:rPr>
          <w:b/>
          <w:spacing w:val="-2"/>
          <w:sz w:val="18"/>
        </w:rPr>
        <w:t xml:space="preserve">Wykres 2. System wag stosowany w obliczeniach wskaźników cen towarów i usług </w:t>
      </w:r>
      <w:r w:rsidRPr="00666DED">
        <w:rPr>
          <w:b/>
          <w:spacing w:val="-2"/>
          <w:sz w:val="18"/>
        </w:rPr>
        <w:br/>
      </w:r>
      <w:r w:rsidR="00927AD2" w:rsidRPr="00666DED">
        <w:rPr>
          <w:b/>
          <w:spacing w:val="-2"/>
          <w:sz w:val="18"/>
        </w:rPr>
        <w:t>konsumpcyjnych w 2019</w:t>
      </w:r>
      <w:r w:rsidR="005F4399" w:rsidRPr="00666DED">
        <w:rPr>
          <w:b/>
          <w:spacing w:val="-2"/>
          <w:sz w:val="18"/>
        </w:rPr>
        <w:t xml:space="preserve"> r.</w:t>
      </w:r>
      <w:r w:rsidR="00C73B5E" w:rsidRPr="00C27CB6">
        <w:rPr>
          <w:highlight w:val="yellow"/>
        </w:rPr>
        <w:br w:type="page"/>
      </w:r>
    </w:p>
    <w:p w:rsidR="003A440F" w:rsidRPr="00C27CB6" w:rsidRDefault="00C110DB" w:rsidP="00C27D75">
      <w:pPr>
        <w:pStyle w:val="tytuwykresu"/>
        <w:rPr>
          <w:b w:val="0"/>
          <w:noProof/>
          <w:highlight w:val="yellow"/>
          <w:shd w:val="clear" w:color="auto" w:fill="FFFFFF"/>
          <w:lang w:eastAsia="pl-PL"/>
        </w:rPr>
      </w:pPr>
      <w:bookmarkStart w:id="0" w:name="_GoBack"/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808768" behindDoc="0" locked="0" layoutInCell="1" allowOverlap="1" wp14:anchorId="2CCB2090" wp14:editId="07AD11E7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5122545" cy="2555240"/>
            <wp:effectExtent l="0" t="0" r="0" b="0"/>
            <wp:wrapSquare wrapText="bothSides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440F" w:rsidRPr="00C110DB">
        <w:t xml:space="preserve">Wykres </w:t>
      </w:r>
      <w:r w:rsidR="00CF08EF" w:rsidRPr="00C110DB">
        <w:t>3</w:t>
      </w:r>
      <w:r w:rsidR="003A440F" w:rsidRPr="00C110DB">
        <w:t>.</w:t>
      </w:r>
      <w:r w:rsidR="003A440F" w:rsidRPr="00C110DB">
        <w:rPr>
          <w:shd w:val="clear" w:color="auto" w:fill="FFFFFF"/>
        </w:rPr>
        <w:t xml:space="preserve"> C</w:t>
      </w:r>
      <w:r w:rsidR="003A440F" w:rsidRPr="00C110DB">
        <w:rPr>
          <w:bCs/>
          <w:shd w:val="clear" w:color="auto" w:fill="FFFFFF"/>
        </w:rPr>
        <w:t xml:space="preserve">eny towarów i usług konsumpcyjnych </w:t>
      </w:r>
      <w:r w:rsidR="003A440F" w:rsidRPr="00C110DB">
        <w:rPr>
          <w:shd w:val="clear" w:color="auto" w:fill="FFFFFF"/>
        </w:rPr>
        <w:t>(zmiana w % do okresu poprzedniego)</w:t>
      </w:r>
      <w:r w:rsidR="003A440F" w:rsidRPr="00C110DB">
        <w:rPr>
          <w:b w:val="0"/>
          <w:noProof/>
          <w:shd w:val="clear" w:color="auto" w:fill="FFFFFF"/>
          <w:lang w:eastAsia="pl-PL"/>
        </w:rPr>
        <w:t xml:space="preserve"> </w:t>
      </w:r>
    </w:p>
    <w:p w:rsidR="00DA0243" w:rsidRPr="00C27CB6" w:rsidRDefault="00DA0243" w:rsidP="0026302B">
      <w:pPr>
        <w:pStyle w:val="LID"/>
        <w:rPr>
          <w:b w:val="0"/>
          <w:spacing w:val="-2"/>
          <w:sz w:val="18"/>
          <w:highlight w:val="yellow"/>
        </w:rPr>
      </w:pPr>
    </w:p>
    <w:p w:rsidR="00034160" w:rsidRPr="00C27CB6" w:rsidRDefault="00D81F2B" w:rsidP="000609C1">
      <w:pPr>
        <w:pStyle w:val="tytuwykresu"/>
        <w:ind w:left="822" w:hanging="822"/>
        <w:rPr>
          <w:highlight w:val="yellow"/>
          <w:shd w:val="clear" w:color="auto" w:fill="FFFFFF"/>
        </w:rPr>
      </w:pPr>
      <w:r>
        <w:rPr>
          <w:noProof/>
          <w:lang w:val="en-GB" w:eastAsia="en-GB"/>
        </w:rPr>
        <w:pict>
          <v:shape id="Text Box 25" o:spid="_x0000_s1029" type="#_x0000_t202" style="position:absolute;left:0;text-align:left;margin-left:414.75pt;margin-top:315.75pt;width:135.85pt;height:114.2pt;z-index:-251566080;visibility:visible;mso-wrap-distance-top:3.6pt;mso-wrap-distance-bottom:3.6pt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5KNvAIAAMM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YswErSDGj2y0aA7OaIotvkZep2C2UMPhmaEc7B1XHV/L8tvGgm5aqjYslul5NAwWkF8oX3pXzyd&#10;cLQF2QwfZQV+6M5IBzTWqrPJg3QgQIc6PZ1qY2Mprct5FEdJjFEJd2GcBLO5i86n6fF5r7R5z2SH&#10;7CLDCorv4On+XhsbDk2PJtabkAVvWyeAVjw7AMPpBJzDU3tnw3D1/JkEyXqxXhCPRLO1R4I8926L&#10;FfFmRTiP83f5apWHv6zfkKQNryomrJujtkLyZ7U7qHxSxUldWra8snA2JK22m1Wr0J6Ctgv3uaTD&#10;zdnMfx6GSwJweUEpjEhwFyVeMVvMPVKQ2EvmwcILwuQumQUkIXnxnNI9F+zfKaEhw0kMKnN0zkG/&#10;4Ba47zU3mnbcwPRoeZfhxcmIplaDa1G50hrK22l9kQob/jkVUO5joZ1irUgnuZpxM7rmeHdshI2s&#10;nkDCSoLAQKcw+WDRSPUDowGmSIb19x1VDKP2g4A2SEJC7NhxGxLPI9ioy5vN5Q0VJUBl2GA0LVdm&#10;GlW7XvFtA56mxhPyFlqn5k7UtsemqA4NB5PCcTtMNTuKLvfO6jx7l78BAAD//wMAUEsDBBQABgAI&#10;AAAAIQBqKzqg3wAAAAwBAAAPAAAAZHJzL2Rvd25yZXYueG1sTI/BTsMwDIbvSLxDZCRuLGlhU1ea&#10;TgjElYltIHHLGq+taJyqydby9vNO7Gbr//T7c7GaXCdOOITWk4ZkpkAgVd62VGvYbd8fMhAhGrKm&#10;84Qa/jDAqry9KUxu/UifeNrEWnAJhdxoaGLscylD1aAzYeZ7JM4OfnAm8jrU0g5m5HLXyVSphXSm&#10;Jb7QmB5fG6x+N0en4evj8PP9pNb1m5v3o5+UJLeUWt/fTS/PICJO8R+Giz6rQ8lOe38kG0SnIUuX&#10;c0Y1LB4THi5EopIUxJ6zLFUgy0JeP1GeAQAA//8DAFBLAQItABQABgAIAAAAIQC2gziS/gAAAOEB&#10;AAATAAAAAAAAAAAAAAAAAAAAAABbQ29udGVudF9UeXBlc10ueG1sUEsBAi0AFAAGAAgAAAAhADj9&#10;If/WAAAAlAEAAAsAAAAAAAAAAAAAAAAALwEAAF9yZWxzLy5yZWxzUEsBAi0AFAAGAAgAAAAhAEzn&#10;ko28AgAAwwUAAA4AAAAAAAAAAAAAAAAALgIAAGRycy9lMm9Eb2MueG1sUEsBAi0AFAAGAAgAAAAh&#10;AGorOqDfAAAADAEAAA8AAAAAAAAAAAAAAAAAFgUAAGRycy9kb3ducmV2LnhtbFBLBQYAAAAABAAE&#10;APMAAAAiBgAAAAA=&#10;" filled="f" stroked="f">
            <v:textbox style="mso-next-textbox:#Text Box 25">
              <w:txbxContent>
                <w:p w:rsidR="00D81F2B" w:rsidRPr="00BF2F65" w:rsidRDefault="00D81F2B" w:rsidP="00FB2D00">
                  <w:pPr>
                    <w:pStyle w:val="Tekstprzypisudolnego"/>
                    <w:spacing w:line="240" w:lineRule="exact"/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We wrześniu </w:t>
                  </w:r>
                  <w:r w:rsidRPr="003D67C8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2019 r.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wskaźnik cen towarów i usług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konsumpcyjnych znajdował się w </w:t>
                  </w:r>
                  <w:r w:rsidRPr="009B76FA"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>granicach odch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t xml:space="preserve">yleń od celu inflacyjnego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określonego przez Radę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 xml:space="preserve">Polityki Pieniężnej </w:t>
                  </w:r>
                  <w:r>
                    <w:rPr>
                      <w:rFonts w:eastAsia="Times New Roman" w:cs="Times New Roman"/>
                      <w:bCs/>
                      <w:color w:val="001D77"/>
                      <w:sz w:val="18"/>
                      <w:szCs w:val="18"/>
                      <w:lang w:eastAsia="pl-PL"/>
                    </w:rPr>
                    <w:br/>
                    <w:t>(2,5% +/- 1 p. proc.)</w:t>
                  </w:r>
                </w:p>
              </w:txbxContent>
            </v:textbox>
            <w10:wrap type="tight" anchory="page"/>
          </v:shape>
        </w:pict>
      </w:r>
      <w:r w:rsidR="00034160" w:rsidRPr="00E67A17">
        <w:t xml:space="preserve">Wykres </w:t>
      </w:r>
      <w:r w:rsidR="00CF08EF" w:rsidRPr="00E67A17">
        <w:t>4</w:t>
      </w:r>
      <w:r w:rsidR="00034160" w:rsidRPr="00E67A17">
        <w:t>.</w:t>
      </w:r>
      <w:r w:rsidR="00034160" w:rsidRPr="00E67A17">
        <w:rPr>
          <w:shd w:val="clear" w:color="auto" w:fill="FFFFFF"/>
        </w:rPr>
        <w:t xml:space="preserve"> C</w:t>
      </w:r>
      <w:r w:rsidR="00034160" w:rsidRPr="00E67A17">
        <w:rPr>
          <w:bCs/>
          <w:shd w:val="clear" w:color="auto" w:fill="FFFFFF"/>
        </w:rPr>
        <w:t xml:space="preserve">eny towarów i usług konsumpcyjnych </w:t>
      </w:r>
      <w:r w:rsidR="000609C1" w:rsidRPr="00E67A17">
        <w:rPr>
          <w:bCs/>
          <w:shd w:val="clear" w:color="auto" w:fill="FFFFFF"/>
        </w:rPr>
        <w:br/>
      </w:r>
      <w:r w:rsidR="00034160" w:rsidRPr="00E67A17">
        <w:rPr>
          <w:shd w:val="clear" w:color="auto" w:fill="FFFFFF"/>
        </w:rPr>
        <w:t>(zmiana w % do analogicznego okresu roku poprzedniego)</w:t>
      </w:r>
    </w:p>
    <w:p w:rsidR="00034160" w:rsidRPr="00C27CB6" w:rsidRDefault="00E67A17" w:rsidP="00740107">
      <w:pPr>
        <w:spacing w:before="0" w:line="259" w:lineRule="auto"/>
        <w:rPr>
          <w:sz w:val="18"/>
          <w:highlight w:val="yellow"/>
        </w:rPr>
      </w:pPr>
      <w:r>
        <w:rPr>
          <w:noProof/>
          <w:lang w:val="en-GB" w:eastAsia="en-GB"/>
        </w:rPr>
        <w:drawing>
          <wp:inline distT="0" distB="0" distL="0" distR="0" wp14:anchorId="15947960" wp14:editId="7C012306">
            <wp:extent cx="5095091" cy="2633563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E7DBB" w:rsidRPr="00CD352D" w:rsidRDefault="003A7D83" w:rsidP="000609C1">
      <w:pPr>
        <w:pStyle w:val="tytuwykresu"/>
        <w:ind w:left="822" w:hanging="822"/>
        <w:rPr>
          <w:bCs/>
          <w:shd w:val="clear" w:color="auto" w:fill="FFFFFF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809792" behindDoc="0" locked="0" layoutInCell="1" allowOverlap="1" wp14:anchorId="52A9A480" wp14:editId="51189DFD">
            <wp:simplePos x="0" y="0"/>
            <wp:positionH relativeFrom="column">
              <wp:posOffset>-28575</wp:posOffset>
            </wp:positionH>
            <wp:positionV relativeFrom="paragraph">
              <wp:posOffset>386715</wp:posOffset>
            </wp:positionV>
            <wp:extent cx="5122545" cy="2528570"/>
            <wp:effectExtent l="0" t="0" r="0" b="0"/>
            <wp:wrapSquare wrapText="bothSides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63" w:rsidRPr="003A7D83">
        <w:t xml:space="preserve">Wykres </w:t>
      </w:r>
      <w:r w:rsidR="00CF08EF" w:rsidRPr="003A7D83">
        <w:t>5</w:t>
      </w:r>
      <w:r w:rsidR="00883763" w:rsidRPr="003A7D83">
        <w:t>.</w:t>
      </w:r>
      <w:r w:rsidR="00883763" w:rsidRPr="003A7D83">
        <w:rPr>
          <w:shd w:val="clear" w:color="auto" w:fill="FFFFFF"/>
        </w:rPr>
        <w:t xml:space="preserve"> </w:t>
      </w:r>
      <w:r w:rsidR="00761070" w:rsidRPr="003A7D83">
        <w:rPr>
          <w:bCs/>
          <w:shd w:val="clear" w:color="auto" w:fill="FFFFFF"/>
        </w:rPr>
        <w:t xml:space="preserve">Wskaźnik cen towarów i usług konsumpcyjnych (CPI) oraz </w:t>
      </w:r>
      <w:r w:rsidR="001E7DBB" w:rsidRPr="003A7D83">
        <w:rPr>
          <w:bCs/>
          <w:shd w:val="clear" w:color="auto" w:fill="FFFFFF"/>
        </w:rPr>
        <w:t>z</w:t>
      </w:r>
      <w:r w:rsidR="00761070" w:rsidRPr="003A7D83">
        <w:rPr>
          <w:bCs/>
          <w:shd w:val="clear" w:color="auto" w:fill="FFFFFF"/>
        </w:rPr>
        <w:t xml:space="preserve">harmonizowany </w:t>
      </w:r>
      <w:r w:rsidR="001E7DBB" w:rsidRPr="003A7D83">
        <w:rPr>
          <w:bCs/>
          <w:shd w:val="clear" w:color="auto" w:fill="FFFFFF"/>
        </w:rPr>
        <w:t xml:space="preserve">wskaźnik </w:t>
      </w:r>
      <w:r w:rsidR="00511F19" w:rsidRPr="003A7D83">
        <w:rPr>
          <w:bCs/>
          <w:shd w:val="clear" w:color="auto" w:fill="FFFFFF"/>
        </w:rPr>
        <w:br/>
      </w:r>
      <w:r w:rsidR="001E7DBB" w:rsidRPr="003A7D83">
        <w:rPr>
          <w:bCs/>
          <w:shd w:val="clear" w:color="auto" w:fill="FFFFFF"/>
        </w:rPr>
        <w:t xml:space="preserve">cen konsumpcyjnych (HICP) </w:t>
      </w:r>
      <w:r w:rsidR="001E7DBB" w:rsidRPr="003A7D83">
        <w:rPr>
          <w:shd w:val="clear" w:color="auto" w:fill="FFFFFF"/>
        </w:rPr>
        <w:t>(zmiana w % do analogicznego okresu roku poprzedniego)</w:t>
      </w:r>
    </w:p>
    <w:p w:rsidR="00820461" w:rsidRPr="00876337" w:rsidRDefault="000A0FD3">
      <w:pPr>
        <w:spacing w:before="0" w:after="160" w:line="259" w:lineRule="auto"/>
        <w:rPr>
          <w:b/>
          <w:noProof/>
          <w:sz w:val="18"/>
          <w:szCs w:val="19"/>
          <w:highlight w:val="yellow"/>
          <w:lang w:eastAsia="pl-PL"/>
        </w:rPr>
      </w:pPr>
      <w:r w:rsidRPr="00876337">
        <w:rPr>
          <w:sz w:val="18"/>
          <w:highlight w:val="yellow"/>
        </w:rPr>
        <w:t xml:space="preserve"> </w:t>
      </w:r>
      <w:r w:rsidR="00820461" w:rsidRPr="00876337">
        <w:rPr>
          <w:sz w:val="18"/>
          <w:highlight w:val="yellow"/>
        </w:rPr>
        <w:br w:type="page"/>
      </w:r>
    </w:p>
    <w:p w:rsidR="00516A50" w:rsidRPr="003A7D83" w:rsidRDefault="00516A50" w:rsidP="00516A50">
      <w:pPr>
        <w:pStyle w:val="LID"/>
        <w:rPr>
          <w:bCs/>
          <w:sz w:val="18"/>
          <w:shd w:val="clear" w:color="auto" w:fill="FFFFFF"/>
        </w:rPr>
      </w:pPr>
      <w:r w:rsidRPr="003A7D83">
        <w:rPr>
          <w:sz w:val="18"/>
        </w:rPr>
        <w:lastRenderedPageBreak/>
        <w:t xml:space="preserve">Tablica </w:t>
      </w:r>
      <w:r w:rsidR="00CF08EF" w:rsidRPr="003A7D83">
        <w:rPr>
          <w:sz w:val="18"/>
        </w:rPr>
        <w:t>2</w:t>
      </w:r>
      <w:r w:rsidRPr="003A7D83">
        <w:rPr>
          <w:sz w:val="18"/>
        </w:rPr>
        <w:t>.</w:t>
      </w:r>
      <w:r w:rsidRPr="003A7D83">
        <w:rPr>
          <w:sz w:val="18"/>
          <w:shd w:val="clear" w:color="auto" w:fill="FFFFFF"/>
        </w:rPr>
        <w:t xml:space="preserve"> </w:t>
      </w:r>
      <w:r w:rsidRPr="003A7D83">
        <w:rPr>
          <w:bCs/>
          <w:sz w:val="18"/>
          <w:shd w:val="clear" w:color="auto" w:fill="FFFFFF"/>
        </w:rPr>
        <w:t>Wskaźniki cen towarów i usług konsumpcyjnych w</w:t>
      </w:r>
      <w:r w:rsidR="003A7D83" w:rsidRPr="003A7D83">
        <w:rPr>
          <w:bCs/>
          <w:sz w:val="18"/>
          <w:shd w:val="clear" w:color="auto" w:fill="FFFFFF"/>
        </w:rPr>
        <w:t xml:space="preserve">e wrześniu </w:t>
      </w:r>
      <w:r w:rsidRPr="003A7D83">
        <w:rPr>
          <w:sz w:val="18"/>
        </w:rPr>
        <w:t>201</w:t>
      </w:r>
      <w:r w:rsidR="00CD352D" w:rsidRPr="003A7D83">
        <w:rPr>
          <w:sz w:val="18"/>
        </w:rPr>
        <w:t>9</w:t>
      </w:r>
      <w:r w:rsidRPr="003A7D83">
        <w:rPr>
          <w:sz w:val="18"/>
        </w:rPr>
        <w:t> </w:t>
      </w:r>
      <w:r w:rsidRPr="003A7D83">
        <w:rPr>
          <w:bCs/>
          <w:sz w:val="18"/>
          <w:shd w:val="clear" w:color="auto" w:fill="FFFFFF"/>
        </w:rPr>
        <w:t>r.</w:t>
      </w:r>
    </w:p>
    <w:p w:rsidR="009E3FA7" w:rsidRPr="00C27CB6" w:rsidRDefault="009E3FA7" w:rsidP="00516A50">
      <w:pPr>
        <w:pStyle w:val="LID"/>
        <w:rPr>
          <w:bCs/>
          <w:sz w:val="18"/>
          <w:highlight w:val="yellow"/>
          <w:shd w:val="clear" w:color="auto" w:fill="FFFFFF"/>
        </w:rPr>
      </w:pPr>
    </w:p>
    <w:tbl>
      <w:tblPr>
        <w:tblW w:w="8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9"/>
        <w:gridCol w:w="865"/>
        <w:gridCol w:w="865"/>
        <w:gridCol w:w="870"/>
        <w:gridCol w:w="970"/>
        <w:gridCol w:w="851"/>
        <w:gridCol w:w="850"/>
      </w:tblGrid>
      <w:tr w:rsidR="00866B61" w:rsidRPr="00866B61" w:rsidTr="001441A0">
        <w:trPr>
          <w:trHeight w:val="315"/>
          <w:tblHeader/>
        </w:trPr>
        <w:tc>
          <w:tcPr>
            <w:tcW w:w="2809" w:type="dxa"/>
            <w:vMerge w:val="restart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7122CC" w:rsidRDefault="00866B61" w:rsidP="00866B6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IX 2019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7122CC" w:rsidRDefault="00866B61" w:rsidP="00866B6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VII-IX 2019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7122CC" w:rsidRDefault="00866B61" w:rsidP="00866B6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I-IX 2019</w:t>
            </w:r>
          </w:p>
        </w:tc>
      </w:tr>
      <w:tr w:rsidR="00866B61" w:rsidRPr="00866B61" w:rsidTr="001441A0">
        <w:trPr>
          <w:trHeight w:val="465"/>
          <w:tblHeader/>
        </w:trPr>
        <w:tc>
          <w:tcPr>
            <w:tcW w:w="2809" w:type="dxa"/>
            <w:vMerge/>
            <w:tcBorders>
              <w:top w:val="nil"/>
              <w:left w:val="nil"/>
              <w:bottom w:val="single" w:sz="12" w:space="0" w:color="212492"/>
              <w:right w:val="single" w:sz="8" w:space="0" w:color="212492"/>
            </w:tcBorders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7122CC" w:rsidRDefault="00866B61" w:rsidP="00866B6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IX 2018=</w:t>
            </w: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7122CC" w:rsidRDefault="00866B61" w:rsidP="00866B6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XII 2018=</w:t>
            </w: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7122CC" w:rsidRDefault="00866B61" w:rsidP="00866B61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VIII 2019=</w:t>
            </w: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br/>
              <w:t>=100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866B61" w:rsidRPr="007122CC" w:rsidRDefault="00397181" w:rsidP="001441A0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VII-IX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br/>
            </w:r>
            <w:r w:rsidR="00866B61" w:rsidRPr="007122CC">
              <w:rPr>
                <w:rFonts w:eastAsia="Times New Roman" w:cs="Calibri"/>
                <w:sz w:val="16"/>
                <w:szCs w:val="16"/>
                <w:lang w:eastAsia="pl-PL"/>
              </w:rPr>
              <w:t>2018=100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12" w:space="0" w:color="212492"/>
              <w:right w:val="single" w:sz="8" w:space="0" w:color="212492"/>
            </w:tcBorders>
            <w:vAlign w:val="center"/>
          </w:tcPr>
          <w:p w:rsidR="00866B61" w:rsidRPr="007122CC" w:rsidRDefault="001441A0" w:rsidP="001441A0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sz w:val="16"/>
                <w:szCs w:val="16"/>
                <w:lang w:eastAsia="pl-PL"/>
              </w:rPr>
              <w:t>IV-VI  2019</w:t>
            </w:r>
            <w:r w:rsidR="00866B61" w:rsidRPr="007122CC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12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7122CC" w:rsidRDefault="001441A0" w:rsidP="001441A0">
            <w:pPr>
              <w:spacing w:before="0"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7122CC">
              <w:rPr>
                <w:rFonts w:eastAsia="Times New Roman" w:cs="Calibri"/>
                <w:sz w:val="16"/>
                <w:szCs w:val="16"/>
                <w:lang w:eastAsia="pl-PL"/>
              </w:rPr>
              <w:t>I-IX</w:t>
            </w:r>
            <w:r w:rsidR="00866B61" w:rsidRPr="007122CC">
              <w:rPr>
                <w:rFonts w:eastAsia="Times New Roman" w:cs="Calibri"/>
                <w:sz w:val="16"/>
                <w:szCs w:val="16"/>
                <w:lang w:eastAsia="pl-PL"/>
              </w:rPr>
              <w:t xml:space="preserve"> 201</w:t>
            </w:r>
            <w:r>
              <w:rPr>
                <w:rFonts w:eastAsia="Times New Roman" w:cs="Calibri"/>
                <w:sz w:val="16"/>
                <w:szCs w:val="16"/>
                <w:lang w:eastAsia="pl-PL"/>
              </w:rPr>
              <w:t>8</w:t>
            </w:r>
            <w:r w:rsidR="00866B61" w:rsidRPr="007122CC">
              <w:rPr>
                <w:rFonts w:eastAsia="Times New Roman" w:cs="Calibri"/>
                <w:sz w:val="16"/>
                <w:szCs w:val="16"/>
                <w:lang w:eastAsia="pl-PL"/>
              </w:rPr>
              <w:t>=100</w:t>
            </w:r>
          </w:p>
        </w:tc>
      </w:tr>
      <w:tr w:rsidR="00866B61" w:rsidRPr="00866B61" w:rsidTr="001441A0">
        <w:trPr>
          <w:trHeight w:val="330"/>
        </w:trPr>
        <w:tc>
          <w:tcPr>
            <w:tcW w:w="2809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6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Default="00866B61" w:rsidP="00EE3F46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102,6</w:t>
            </w:r>
          </w:p>
        </w:tc>
        <w:tc>
          <w:tcPr>
            <w:tcW w:w="865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Default="00866B61" w:rsidP="00EE3F46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870" w:type="dxa"/>
            <w:tcBorders>
              <w:top w:val="single" w:sz="12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Default="00866B61" w:rsidP="00EE3F46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70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Default="00866B61" w:rsidP="00EE3F46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851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Default="00866B61" w:rsidP="00EE3F46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850" w:type="dxa"/>
            <w:tcBorders>
              <w:top w:val="single" w:sz="12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Default="00866B61" w:rsidP="00EE3F46">
            <w:pPr>
              <w:jc w:val="right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102,1</w:t>
            </w:r>
          </w:p>
        </w:tc>
      </w:tr>
      <w:tr w:rsidR="00866B61" w:rsidRPr="00866B61" w:rsidTr="001441A0">
        <w:trPr>
          <w:trHeight w:val="37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FD7DB8" w:rsidRDefault="00866B61" w:rsidP="00866B61">
            <w:pPr>
              <w:spacing w:before="0"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Towary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FD7DB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865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FD7DB8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FD7DB8">
            <w:pPr>
              <w:spacing w:before="0" w:after="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FD7DB8">
            <w:pPr>
              <w:spacing w:before="0" w:after="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FD7DB8">
            <w:pPr>
              <w:spacing w:before="0" w:after="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FD7DB8">
            <w:pPr>
              <w:spacing w:before="0" w:after="0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</w:tr>
      <w:tr w:rsidR="00866B61" w:rsidRPr="00866B61" w:rsidTr="001441A0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t xml:space="preserve">Żywność, napoje bezalkoholowe </w:t>
            </w:r>
            <w:r w:rsidRPr="00866B61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 xml:space="preserve">i alkoholowe oraz wyroby </w:t>
            </w:r>
            <w:r w:rsidRPr="00866B61">
              <w:rPr>
                <w:rFonts w:eastAsia="Times New Roman" w:cs="Arial"/>
                <w:caps/>
                <w:color w:val="000000"/>
                <w:sz w:val="16"/>
                <w:szCs w:val="16"/>
                <w:lang w:eastAsia="pl-PL"/>
              </w:rPr>
              <w:br/>
              <w:t>tytoniowe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866B61" w:rsidRPr="00866B61" w:rsidTr="001441A0">
        <w:trPr>
          <w:trHeight w:val="39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ŻYWNOŚĆ I NAPOJE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BEZALKOHOLOWE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106,3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Żywność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65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7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Mąka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Pieczywo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109,4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Makarony i produkty makaronowe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wołowe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cielęce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wieprzowe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106,8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Mięso drobiowe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Wędliny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104,3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Ryby i owoce morza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Mleko, sery i jaja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22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1315A3">
            <w:pPr>
              <w:spacing w:before="60" w:after="4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Mleko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</w:tr>
      <w:tr w:rsidR="00866B61" w:rsidRPr="00866B61" w:rsidTr="001441A0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34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Jogurt, śmietana, napoje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desery mleczne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Sery i twarogi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Jaja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91,5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Oleje i tłuszcze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95,4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roślinne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200" w:firstLine="32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Tłuszcze zwierzęce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</w:tr>
      <w:tr w:rsidR="00866B61" w:rsidRPr="00866B61" w:rsidTr="001441A0">
        <w:trPr>
          <w:trHeight w:val="27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300" w:firstLine="48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masło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91,1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97,1</w:t>
            </w:r>
          </w:p>
        </w:tc>
      </w:tr>
      <w:tr w:rsidR="00866B61" w:rsidRPr="00866B61" w:rsidTr="001441A0">
        <w:trPr>
          <w:trHeight w:val="21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Owoce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112,0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94,5</w:t>
            </w:r>
          </w:p>
        </w:tc>
      </w:tr>
      <w:tr w:rsidR="00866B61" w:rsidRPr="00866B61" w:rsidTr="001441A0">
        <w:trPr>
          <w:trHeight w:val="22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Warzywa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130,3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121,6</w:t>
            </w:r>
          </w:p>
        </w:tc>
      </w:tr>
      <w:tr w:rsidR="00866B61" w:rsidRPr="00866B61" w:rsidTr="001441A0">
        <w:trPr>
          <w:trHeight w:val="256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Cukier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120,6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125,5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115,0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bezalkoholowe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866B61" w:rsidRPr="00866B61" w:rsidTr="001441A0">
        <w:trPr>
          <w:trHeight w:val="30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Kawa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866B61" w:rsidRPr="00866B61" w:rsidTr="001441A0">
        <w:trPr>
          <w:trHeight w:val="25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Herbata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Kakao i czekolada w proszku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Wody mineralne lub źródlane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Soki owocowe i warzywne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 xml:space="preserve">NAPOJE ALKOHOLOWE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WYROBY TYTONIOWE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Napoje alkoholowe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tytoniowe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866B61" w:rsidRPr="00866B61" w:rsidTr="001441A0">
        <w:trPr>
          <w:trHeight w:val="216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 I OBUWIE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95,5</w:t>
            </w:r>
          </w:p>
        </w:tc>
        <w:tc>
          <w:tcPr>
            <w:tcW w:w="850" w:type="dxa"/>
            <w:tcBorders>
              <w:top w:val="nil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97,9</w:t>
            </w:r>
          </w:p>
        </w:tc>
      </w:tr>
      <w:tr w:rsidR="00866B61" w:rsidRPr="00866B61" w:rsidTr="001441A0">
        <w:trPr>
          <w:trHeight w:val="19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Odzież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</w:tr>
      <w:tr w:rsidR="00866B61" w:rsidRPr="00866B61" w:rsidTr="001441A0">
        <w:trPr>
          <w:trHeight w:val="287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Obuwie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866B61" w:rsidRPr="00866B61" w:rsidTr="001441A0">
        <w:trPr>
          <w:trHeight w:val="26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MIESZKANIE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866B61" w:rsidRPr="00866B61" w:rsidTr="001441A0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UŻYTKOWANIE MIESZKANIA LUB DOMU I NOŚNIKI ENERGII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</w:tr>
      <w:tr w:rsidR="00866B61" w:rsidRPr="00866B61" w:rsidTr="001441A0">
        <w:trPr>
          <w:trHeight w:val="26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Opłaty na rzecz właścicieli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</w:tr>
      <w:tr w:rsidR="00866B61" w:rsidRPr="00866B61" w:rsidTr="001441A0">
        <w:trPr>
          <w:trHeight w:val="27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Zaopatrywanie w wodę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</w:tr>
      <w:tr w:rsidR="00866B61" w:rsidRPr="00866B61" w:rsidTr="001441A0">
        <w:trPr>
          <w:trHeight w:val="26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Wywóz śmieci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129,9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127,0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118,0</w:t>
            </w:r>
          </w:p>
        </w:tc>
      </w:tr>
      <w:tr w:rsidR="00866B61" w:rsidRPr="00866B61" w:rsidTr="001441A0">
        <w:trPr>
          <w:trHeight w:val="277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kanalizacyjne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866B61" w:rsidRPr="00866B61" w:rsidTr="001441A0">
        <w:trPr>
          <w:trHeight w:val="28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Nośniki energii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98,7</w:t>
            </w:r>
          </w:p>
        </w:tc>
      </w:tr>
      <w:tr w:rsidR="00866B61" w:rsidRPr="00866B61" w:rsidTr="001441A0">
        <w:trPr>
          <w:trHeight w:val="257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elektryczna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93,8</w:t>
            </w:r>
          </w:p>
        </w:tc>
      </w:tr>
      <w:tr w:rsidR="00866B61" w:rsidRPr="00866B61" w:rsidTr="001441A0">
        <w:trPr>
          <w:trHeight w:val="26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866B61" w:rsidRPr="00866B61" w:rsidTr="001441A0">
        <w:trPr>
          <w:trHeight w:val="27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Opał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</w:tr>
      <w:tr w:rsidR="00866B61" w:rsidRPr="00866B61" w:rsidTr="001441A0">
        <w:trPr>
          <w:trHeight w:val="22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Energia cieplna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</w:tr>
      <w:tr w:rsidR="00866B61" w:rsidRPr="00866B61" w:rsidTr="001441A0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WYPOSAŻENIE MIESZKANIA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PROWADZENIE GOSPODARSTWA DOMOWEGO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866B61" w:rsidRPr="00866B61" w:rsidTr="001441A0">
        <w:trPr>
          <w:trHeight w:val="208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Meble, artykuły dekoracyjne,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sprzęt oświetleniowy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Urządzenia gospodarstwa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domowego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</w:tr>
      <w:tr w:rsidR="00866B61" w:rsidRPr="00866B61" w:rsidTr="001441A0">
        <w:trPr>
          <w:trHeight w:val="249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czyszczące i konserwujące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</w:tr>
      <w:tr w:rsidR="00866B61" w:rsidRPr="00866B61" w:rsidTr="001441A0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prowadzeniem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gospodarstwa domowego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866B61" w:rsidRPr="00866B61" w:rsidTr="001441A0">
        <w:trPr>
          <w:trHeight w:val="27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ZDROWIE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866B61" w:rsidRPr="00866B61" w:rsidTr="001441A0">
        <w:trPr>
          <w:trHeight w:val="24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Wyroby farmaceutyczne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Urządzenia i sprzęt terapeutyczny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lekarskie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105,0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stomatologiczne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szpitalne i sanatoryjne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101,8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TRANSPORT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</w:tr>
      <w:tr w:rsidR="00866B61" w:rsidRPr="00866B61" w:rsidTr="001441A0">
        <w:trPr>
          <w:trHeight w:val="163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96,1</w:t>
            </w:r>
          </w:p>
        </w:tc>
      </w:tr>
      <w:tr w:rsidR="00866B61" w:rsidRPr="00866B61" w:rsidTr="001441A0">
        <w:trPr>
          <w:trHeight w:val="26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samochody osobowe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95,9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Paliwa do prywatnych środków 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</w:tr>
      <w:tr w:rsidR="00866B61" w:rsidRPr="00866B61" w:rsidTr="001441A0">
        <w:trPr>
          <w:trHeight w:val="23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Olej napędowy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105,5</w:t>
            </w:r>
          </w:p>
        </w:tc>
      </w:tr>
      <w:tr w:rsidR="00866B61" w:rsidRPr="00866B61" w:rsidTr="001441A0">
        <w:trPr>
          <w:trHeight w:val="194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40" w:after="4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Benzyna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</w:tr>
      <w:tr w:rsidR="00866B61" w:rsidRPr="00866B61" w:rsidTr="001441A0">
        <w:trPr>
          <w:trHeight w:val="46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Gaz ciekły i pozostałe paliwa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 xml:space="preserve">do prywatnych środków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transportu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86,1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82,6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92,1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transportowe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83,3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103,7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lastRenderedPageBreak/>
              <w:t>ŁĄCZNOŚĆ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Sprzęt telekomunikacyjny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89,9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89,7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telekomunikacyjne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98,5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REKREACJA I KULTURA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102,4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442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Sprzęt audiowizualny, </w:t>
            </w:r>
            <w:r w:rsidRPr="00866B6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 xml:space="preserve">fotograficzny </w:t>
            </w:r>
            <w:r w:rsidRPr="00866B6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br/>
              <w:t>i informatyczny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96,2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95,2</w:t>
            </w:r>
          </w:p>
        </w:tc>
      </w:tr>
      <w:tr w:rsidR="00866B61" w:rsidRPr="00866B61" w:rsidTr="001441A0">
        <w:trPr>
          <w:trHeight w:val="300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związane z rekreacją </w:t>
            </w:r>
            <w:r w:rsidRPr="00866B61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kulturą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102,1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45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rekreacją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 sportem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związane z kulturą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100,6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101,5</w:t>
            </w:r>
          </w:p>
        </w:tc>
      </w:tr>
      <w:tr w:rsidR="00866B61" w:rsidRPr="00866B61" w:rsidTr="001441A0">
        <w:trPr>
          <w:trHeight w:val="300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 opłaty radiowo-telewizyjne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98,8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Książki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104,2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102,7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Gazety i czasopisma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105,8</w:t>
            </w:r>
          </w:p>
        </w:tc>
      </w:tr>
      <w:tr w:rsidR="00866B61" w:rsidRPr="00866B61" w:rsidTr="001441A0">
        <w:trPr>
          <w:trHeight w:val="49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Artykuły piśmienne, malarskie, kreślarskie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95,6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106,7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Turystyka zorganizowana w kraju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</w:tr>
      <w:tr w:rsidR="00866B61" w:rsidRPr="00866B61" w:rsidTr="001441A0">
        <w:trPr>
          <w:trHeight w:val="428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6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Turystyka zorganizowana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za granicą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110,0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94,4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108,6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106,4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EDUKACJA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104,4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103,4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103,5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103,2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RESTAURACJE I HOTELE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101,6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INNE TOWARY I USŁUGI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Higiena osobista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100,8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firstLineChars="100" w:firstLine="16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212492"/>
              <w:right w:val="nil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Usługi fryzjerskie, kosmetyczne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pielęgnacyjne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105,7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104,9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ind w:left="170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Artykuły do higieny osobistej </w:t>
            </w: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br/>
              <w:t>i kosmetyki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99,5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100,2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99,9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99,7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100,1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Opieka społeczna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865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8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851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100,9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104,6</w:t>
            </w:r>
          </w:p>
        </w:tc>
      </w:tr>
      <w:tr w:rsidR="00866B61" w:rsidRPr="00866B61" w:rsidTr="001441A0">
        <w:trPr>
          <w:trHeight w:val="315"/>
        </w:trPr>
        <w:tc>
          <w:tcPr>
            <w:tcW w:w="2809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103,3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212492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105,9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102,6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single" w:sz="8" w:space="0" w:color="212492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single" w:sz="8" w:space="0" w:color="212492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101,9</w:t>
            </w:r>
          </w:p>
        </w:tc>
      </w:tr>
      <w:tr w:rsidR="00866B61" w:rsidRPr="00866B61" w:rsidTr="001441A0">
        <w:trPr>
          <w:trHeight w:val="450"/>
        </w:trPr>
        <w:tc>
          <w:tcPr>
            <w:tcW w:w="2809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  <w:hideMark/>
          </w:tcPr>
          <w:p w:rsidR="00866B61" w:rsidRPr="00866B61" w:rsidRDefault="00866B61" w:rsidP="00866B61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Usługi finansowe świadczone przez banki i inne instytucje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212492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100,0</w:t>
            </w:r>
          </w:p>
        </w:tc>
        <w:tc>
          <w:tcPr>
            <w:tcW w:w="970" w:type="dxa"/>
            <w:tcBorders>
              <w:top w:val="single" w:sz="8" w:space="0" w:color="212492"/>
              <w:left w:val="nil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100,5</w:t>
            </w:r>
          </w:p>
        </w:tc>
        <w:tc>
          <w:tcPr>
            <w:tcW w:w="851" w:type="dxa"/>
            <w:tcBorders>
              <w:top w:val="nil"/>
              <w:left w:val="single" w:sz="8" w:space="0" w:color="212492"/>
              <w:bottom w:val="nil"/>
              <w:right w:val="single" w:sz="8" w:space="0" w:color="212492"/>
            </w:tcBorders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98,3</w:t>
            </w:r>
          </w:p>
        </w:tc>
        <w:tc>
          <w:tcPr>
            <w:tcW w:w="850" w:type="dxa"/>
            <w:tcBorders>
              <w:top w:val="single" w:sz="8" w:space="0" w:color="212492"/>
              <w:left w:val="single" w:sz="8" w:space="0" w:color="212492"/>
              <w:bottom w:val="nil"/>
              <w:right w:val="nil"/>
            </w:tcBorders>
            <w:shd w:val="clear" w:color="auto" w:fill="auto"/>
            <w:vAlign w:val="center"/>
          </w:tcPr>
          <w:p w:rsidR="00866B61" w:rsidRPr="00866B61" w:rsidRDefault="00866B61" w:rsidP="00EE3F46">
            <w:pPr>
              <w:spacing w:before="0" w:after="0" w:line="240" w:lineRule="auto"/>
              <w:jc w:val="right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  <w:r w:rsidRPr="00866B61"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>97,3</w:t>
            </w:r>
          </w:p>
        </w:tc>
      </w:tr>
    </w:tbl>
    <w:p w:rsidR="00685123" w:rsidRPr="00876337" w:rsidRDefault="00685123" w:rsidP="00883763">
      <w:pPr>
        <w:spacing w:before="0" w:after="160" w:line="259" w:lineRule="auto"/>
        <w:rPr>
          <w:b/>
          <w:noProof/>
          <w:szCs w:val="19"/>
          <w:highlight w:val="yellow"/>
          <w:lang w:eastAsia="pl-PL"/>
        </w:rPr>
        <w:sectPr w:rsidR="00685123" w:rsidRPr="00876337" w:rsidSect="00EF7B36">
          <w:headerReference w:type="default" r:id="rId18"/>
          <w:footerReference w:type="default" r:id="rId19"/>
          <w:headerReference w:type="first" r:id="rId20"/>
          <w:footerReference w:type="first" r:id="rId21"/>
          <w:footnotePr>
            <w:numFmt w:val="lowerLetter"/>
          </w:footnotePr>
          <w:pgSz w:w="11906" w:h="16838"/>
          <w:pgMar w:top="720" w:right="3119" w:bottom="720" w:left="720" w:header="284" w:footer="283" w:gutter="0"/>
          <w:cols w:space="708"/>
          <w:titlePg/>
          <w:docGrid w:linePitch="360"/>
        </w:sectPr>
      </w:pPr>
    </w:p>
    <w:p w:rsidR="000470AA" w:rsidRPr="00876337" w:rsidRDefault="000470AA" w:rsidP="000470AA">
      <w:pPr>
        <w:rPr>
          <w:sz w:val="18"/>
          <w:highlight w:val="yellow"/>
        </w:rPr>
      </w:pP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358"/>
        <w:gridCol w:w="3925"/>
      </w:tblGrid>
      <w:tr w:rsidR="00883763" w:rsidRPr="00876337" w:rsidTr="00EE696D">
        <w:trPr>
          <w:trHeight w:val="1912"/>
        </w:trPr>
        <w:tc>
          <w:tcPr>
            <w:tcW w:w="4379" w:type="dxa"/>
          </w:tcPr>
          <w:p w:rsidR="00883763" w:rsidRPr="00A7152F" w:rsidRDefault="00883763" w:rsidP="00EE696D">
            <w:pPr>
              <w:spacing w:before="0" w:after="0" w:line="240" w:lineRule="auto"/>
              <w:rPr>
                <w:rFonts w:cs="Arial"/>
                <w:color w:val="000000" w:themeColor="text1"/>
                <w:sz w:val="20"/>
              </w:rPr>
            </w:pPr>
            <w:r w:rsidRPr="00A7152F">
              <w:rPr>
                <w:rFonts w:cs="Arial"/>
                <w:color w:val="000000" w:themeColor="text1"/>
                <w:sz w:val="20"/>
              </w:rPr>
              <w:t>Opracowanie merytoryczne:</w:t>
            </w:r>
          </w:p>
          <w:p w:rsidR="00883763" w:rsidRPr="00A7152F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A7152F">
              <w:rPr>
                <w:rFonts w:cs="Arial"/>
                <w:b/>
                <w:color w:val="000000" w:themeColor="text1"/>
                <w:sz w:val="20"/>
              </w:rPr>
              <w:t>Departament Handlu i Usług</w:t>
            </w:r>
          </w:p>
          <w:p w:rsidR="00883763" w:rsidRPr="00A7152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</w:pPr>
            <w:r w:rsidRPr="00A7152F">
              <w:rPr>
                <w:rFonts w:ascii="Fira Sans" w:hAnsi="Fira Sans" w:cs="Arial"/>
                <w:b/>
                <w:color w:val="000000" w:themeColor="text1"/>
                <w:sz w:val="20"/>
                <w:szCs w:val="28"/>
                <w:lang w:val="en-GB"/>
              </w:rPr>
              <w:t>Anna Bobel</w:t>
            </w:r>
          </w:p>
          <w:p w:rsidR="00883763" w:rsidRPr="00A7152F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A7152F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35 12</w:t>
            </w:r>
          </w:p>
          <w:p w:rsidR="00883763" w:rsidRPr="00876337" w:rsidRDefault="00883763" w:rsidP="0001700C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highlight w:val="yellow"/>
                <w:lang w:val="en-GB"/>
              </w:rPr>
            </w:pPr>
            <w:r w:rsidRPr="00A7152F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2" w:history="1">
              <w:r w:rsidRPr="00A7152F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a.bobel@stat.gov.pl</w:t>
              </w:r>
            </w:hyperlink>
          </w:p>
        </w:tc>
        <w:tc>
          <w:tcPr>
            <w:tcW w:w="3942" w:type="dxa"/>
          </w:tcPr>
          <w:p w:rsidR="00883763" w:rsidRPr="00D47B8D" w:rsidRDefault="00883763" w:rsidP="00EE696D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</w:rPr>
            </w:pPr>
            <w:r w:rsidRPr="00D47B8D">
              <w:rPr>
                <w:rFonts w:cs="Arial"/>
                <w:color w:val="000000" w:themeColor="text1"/>
                <w:sz w:val="20"/>
              </w:rPr>
              <w:t>Rozpowszechnianie:</w:t>
            </w:r>
            <w:r w:rsidRPr="00D47B8D">
              <w:rPr>
                <w:rFonts w:cs="Arial"/>
                <w:color w:val="000000" w:themeColor="text1"/>
                <w:sz w:val="20"/>
              </w:rPr>
              <w:br/>
            </w:r>
            <w:r w:rsidRPr="00D47B8D">
              <w:rPr>
                <w:rFonts w:cs="Arial"/>
                <w:b/>
                <w:color w:val="000000" w:themeColor="text1"/>
                <w:sz w:val="20"/>
              </w:rPr>
              <w:t>Rzecznik Prasowy Prezesa GUS</w:t>
            </w:r>
          </w:p>
          <w:p w:rsidR="00883763" w:rsidRPr="00D47B8D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</w:pPr>
            <w:r w:rsidRPr="00D47B8D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 xml:space="preserve">Karolina </w:t>
            </w:r>
            <w:r w:rsidR="00B2412D">
              <w:rPr>
                <w:rFonts w:ascii="Fira Sans" w:hAnsi="Fira Sans" w:cs="Arial"/>
                <w:b/>
                <w:color w:val="000000" w:themeColor="text1"/>
                <w:sz w:val="20"/>
                <w:szCs w:val="28"/>
              </w:rPr>
              <w:t>Banaszek</w:t>
            </w:r>
          </w:p>
          <w:p w:rsidR="00883763" w:rsidRPr="00D47B8D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lang w:val="en-GB"/>
              </w:rPr>
            </w:pPr>
            <w:r w:rsidRPr="00D47B8D">
              <w:rPr>
                <w:rFonts w:ascii="Fira Sans" w:hAnsi="Fira Sans" w:cs="Arial"/>
                <w:color w:val="000000" w:themeColor="text1"/>
                <w:sz w:val="20"/>
                <w:lang w:val="en-GB"/>
              </w:rPr>
              <w:t>Tel: 22 608 34 75, 22 608 30 09</w:t>
            </w:r>
          </w:p>
          <w:p w:rsidR="00883763" w:rsidRPr="00876337" w:rsidRDefault="00883763" w:rsidP="00EE696D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highlight w:val="yellow"/>
                <w:lang w:val="en-GB"/>
              </w:rPr>
            </w:pPr>
            <w:r w:rsidRPr="00D47B8D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hyperlink r:id="rId23" w:history="1">
              <w:r w:rsidRPr="00D47B8D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GB"/>
                </w:rPr>
                <w:t>rzecznik@stat.gov.pl</w:t>
              </w:r>
            </w:hyperlink>
          </w:p>
        </w:tc>
      </w:tr>
    </w:tbl>
    <w:p w:rsidR="000470AA" w:rsidRPr="00876337" w:rsidRDefault="000470AA" w:rsidP="000470AA">
      <w:pPr>
        <w:rPr>
          <w:sz w:val="18"/>
          <w:highlight w:val="yellow"/>
          <w:lang w:val="en-GB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2"/>
        <w:gridCol w:w="604"/>
        <w:gridCol w:w="3125"/>
      </w:tblGrid>
      <w:tr w:rsidR="000470AA" w:rsidRPr="00876337" w:rsidTr="00C057E5">
        <w:trPr>
          <w:trHeight w:val="610"/>
        </w:trPr>
        <w:tc>
          <w:tcPr>
            <w:tcW w:w="2721" w:type="pct"/>
            <w:vMerge w:val="restart"/>
          </w:tcPr>
          <w:p w:rsidR="000470AA" w:rsidRPr="00A7152F" w:rsidRDefault="000470AA" w:rsidP="00C057E5">
            <w:pPr>
              <w:spacing w:before="200"/>
              <w:rPr>
                <w:b/>
                <w:sz w:val="20"/>
              </w:rPr>
            </w:pPr>
            <w:r w:rsidRPr="00A7152F">
              <w:rPr>
                <w:b/>
                <w:sz w:val="20"/>
              </w:rPr>
              <w:t xml:space="preserve">Wydział Współpracy z Mediami </w:t>
            </w:r>
          </w:p>
          <w:p w:rsidR="000470AA" w:rsidRPr="00A7152F" w:rsidRDefault="00C057E5" w:rsidP="00C057E5">
            <w:pPr>
              <w:rPr>
                <w:sz w:val="20"/>
              </w:rPr>
            </w:pPr>
            <w:r w:rsidRPr="00A7152F">
              <w:rPr>
                <w:sz w:val="20"/>
              </w:rPr>
              <w:t>T</w:t>
            </w:r>
            <w:r w:rsidR="000609C1">
              <w:rPr>
                <w:sz w:val="20"/>
              </w:rPr>
              <w:t>el</w:t>
            </w:r>
            <w:r w:rsidR="000470AA" w:rsidRPr="00A7152F">
              <w:rPr>
                <w:sz w:val="20"/>
              </w:rPr>
              <w:t xml:space="preserve">: </w:t>
            </w:r>
            <w:r w:rsidR="00097840" w:rsidRPr="00A7152F">
              <w:rPr>
                <w:sz w:val="20"/>
              </w:rPr>
              <w:t>22 608 34 91, 22</w:t>
            </w:r>
            <w:r w:rsidR="000470AA" w:rsidRPr="00A7152F">
              <w:rPr>
                <w:sz w:val="20"/>
              </w:rPr>
              <w:t xml:space="preserve"> 608 38 04 </w:t>
            </w:r>
          </w:p>
          <w:p w:rsidR="000470AA" w:rsidRPr="00876337" w:rsidRDefault="000470AA" w:rsidP="00C057E5">
            <w:pPr>
              <w:rPr>
                <w:sz w:val="18"/>
                <w:highlight w:val="yellow"/>
                <w:lang w:val="en-GB"/>
              </w:rPr>
            </w:pPr>
            <w:r w:rsidRPr="00A7152F">
              <w:rPr>
                <w:b/>
                <w:sz w:val="20"/>
                <w:lang w:val="en-GB"/>
              </w:rPr>
              <w:t>e-</w:t>
            </w:r>
            <w:r w:rsidRPr="00A7152F">
              <w:rPr>
                <w:b/>
                <w:color w:val="000000" w:themeColor="text1"/>
                <w:sz w:val="20"/>
                <w:lang w:val="en-GB"/>
              </w:rPr>
              <w:t xml:space="preserve">mail: </w:t>
            </w:r>
            <w:hyperlink r:id="rId24" w:history="1">
              <w:r w:rsidRPr="00A7152F">
                <w:rPr>
                  <w:rStyle w:val="Hipercze"/>
                  <w:rFonts w:cstheme="minorBidi"/>
                  <w:b/>
                  <w:color w:val="000000" w:themeColor="text1"/>
                  <w:sz w:val="20"/>
                  <w:lang w:val="en-GB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  <w:lang w:val="en-GB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2992" behindDoc="0" locked="0" layoutInCell="1" allowOverlap="1" wp14:anchorId="3871C46F" wp14:editId="7F89A1C6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0609C1" w:rsidRDefault="00D81F2B" w:rsidP="000470AA">
            <w:pPr>
              <w:rPr>
                <w:color w:val="000000" w:themeColor="text1"/>
                <w:sz w:val="18"/>
              </w:rPr>
            </w:pPr>
            <w:hyperlink r:id="rId26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www.stat.gov.pl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5040" behindDoc="0" locked="0" layoutInCell="1" allowOverlap="1" wp14:anchorId="5E1025C2" wp14:editId="2C8574D8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D81F2B" w:rsidP="000470AA">
            <w:pPr>
              <w:rPr>
                <w:color w:val="000000" w:themeColor="text1"/>
                <w:sz w:val="18"/>
              </w:rPr>
            </w:pPr>
            <w:hyperlink r:id="rId28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@GUS_STAT</w:t>
              </w:r>
            </w:hyperlink>
          </w:p>
        </w:tc>
      </w:tr>
      <w:tr w:rsidR="000470AA" w:rsidRPr="00876337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876337" w:rsidRDefault="000470AA" w:rsidP="000470AA">
            <w:pPr>
              <w:rPr>
                <w:sz w:val="18"/>
                <w:highlight w:val="yellow"/>
              </w:rPr>
            </w:pPr>
          </w:p>
        </w:tc>
        <w:tc>
          <w:tcPr>
            <w:tcW w:w="369" w:type="pct"/>
            <w:vAlign w:val="center"/>
          </w:tcPr>
          <w:p w:rsidR="000470AA" w:rsidRPr="00A7152F" w:rsidRDefault="000470AA" w:rsidP="000470AA">
            <w:pPr>
              <w:rPr>
                <w:sz w:val="18"/>
              </w:rPr>
            </w:pPr>
            <w:r w:rsidRPr="00A7152F"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734016" behindDoc="0" locked="0" layoutInCell="1" allowOverlap="1" wp14:anchorId="16E0557E" wp14:editId="373C8024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pct"/>
          </w:tcPr>
          <w:p w:rsidR="000470AA" w:rsidRPr="000609C1" w:rsidRDefault="00D81F2B" w:rsidP="000470AA">
            <w:pPr>
              <w:rPr>
                <w:color w:val="000000" w:themeColor="text1"/>
                <w:sz w:val="20"/>
              </w:rPr>
            </w:pPr>
            <w:hyperlink r:id="rId30" w:history="1"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@</w:t>
              </w:r>
              <w:proofErr w:type="spellStart"/>
              <w:r w:rsidR="000470AA" w:rsidRPr="000609C1">
                <w:rPr>
                  <w:rStyle w:val="Hipercze"/>
                  <w:rFonts w:cstheme="minorBidi"/>
                  <w:color w:val="000000" w:themeColor="text1"/>
                  <w:sz w:val="20"/>
                  <w:u w:val="none"/>
                </w:rPr>
                <w:t>GlownyUrzadStatystyczny</w:t>
              </w:r>
              <w:proofErr w:type="spellEnd"/>
            </w:hyperlink>
          </w:p>
        </w:tc>
      </w:tr>
    </w:tbl>
    <w:p w:rsidR="00D261A2" w:rsidRPr="00065E4D" w:rsidRDefault="00D81F2B" w:rsidP="00E76D26">
      <w:pPr>
        <w:rPr>
          <w:sz w:val="18"/>
        </w:rPr>
      </w:pPr>
      <w:r>
        <w:rPr>
          <w:noProof/>
          <w:sz w:val="18"/>
          <w:highlight w:val="yellow"/>
          <w:lang w:val="en-GB" w:eastAsia="en-GB"/>
        </w:rPr>
        <w:pict>
          <v:shape id="_x0000_s1030" type="#_x0000_t202" style="position:absolute;margin-left:1.5pt;margin-top:34.7pt;width:516.5pt;height:349.85pt;z-index:25174425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dMPwIAAHQEAAAOAAAAZHJzL2Uyb0RvYy54bWysVFFv0zAQfkfiP1h+p0lLMtZo6TQ6hpAG&#10;TBr8gKvjNNZsX7DdJuPX7+y0o4MHJMRL5POdv/vuu7tcXI5Gs710XqGt+XyWcyatwEbZbc2/f7t5&#10;c86ZD2Ab0GhlzR+l55er168uhr6SC+xQN9IxArG+GvqadyH0VZZ50UkDfoa9tORs0RkIZLpt1jgY&#10;CN3obJHnZ9mArukdCuk93V5PTr5K+G0rRfjatl4GpmtO3EL6uvTdxG+2uoBq66DvlDjQgH9gYUBZ&#10;SvoMdQ0B2M6pP6CMEg49tmEm0GTYtkrIVANVM89/q+a+g16mWkgc3z/L5P8frPiyv3NMNdS7OWcW&#10;DPXoDrVkQT74gINki6jR0PuKQu97Cg7jexwpPtXr+1sUD55ZXHdgt/LKORw6CQ1xnMeX2cnTCcdH&#10;kM3wGRvKBbuACWhsnYkCkiSM0KlXj8/9kWNggi7PynJZluQS5CuK4m2+LFMOqI7Pe+fDR4mGxUPN&#10;HQ1Agof9rQ+RDlTHkJjNo1bNjdI6GXHo5Fo7tgcal812KlHvDHGd7pZlnqehIZw0ozE8ob5A0pYN&#10;NV+Wi3IS6S9ZJl4vEIwKtBdamZqfU8opKVRR2Q+2oQdQBVB6OhMZbQ9SR3UnncO4GVNni2MHN9g8&#10;kvYOpzWgtaVDh+4nZwOtQM39jx04yZn+ZKl/y3lRxJ1JRlG+W5DhTj2bUw9YQVA1D5xNx3VIexap&#10;WryiPrcqdSAOxMTkQJlGO0l4WMO4O6d2ivr1s1g9AQAA//8DAFBLAwQUAAYACAAAACEAKy5eo98A&#10;AAAJAQAADwAAAGRycy9kb3ducmV2LnhtbEyPwU7DMBBE70j8g7VIXBB12oJDQjYVQqrghlIquLrx&#10;koTG6yh22/D3uCc4zs5q5k2xmmwvjjT6zjHCfJaAIK6d6bhB2L6vbx9A+KDZ6N4xIfyQh1V5eVHo&#10;3LgTV3TchEbEEPa5RmhDGHIpfd2S1X7mBuLofbnR6hDl2Egz6lMMt71cJImSVnccG1o90HNL9X5z&#10;sAgvWXq/fl1s07e9+lYmu6k+hs8K8fpqenoEEWgKf89wxo/oUEamnTuw8aJHWMYlAUFldyDOdrJU&#10;8bJDSFU2B1kW8v+C8hcAAP//AwBQSwECLQAUAAYACAAAACEAtoM4kv4AAADhAQAAEwAAAAAAAAAA&#10;AAAAAAAAAAAAW0NvbnRlbnRfVHlwZXNdLnhtbFBLAQItABQABgAIAAAAIQA4/SH/1gAAAJQBAAAL&#10;AAAAAAAAAAAAAAAAAC8BAABfcmVscy8ucmVsc1BLAQItABQABgAIAAAAIQAcf+dMPwIAAHQEAAAO&#10;AAAAAAAAAAAAAAAAAC4CAABkcnMvZTJvRG9jLnhtbFBLAQItABQABgAIAAAAIQArLl6j3wAAAAkB&#10;AAAPAAAAAAAAAAAAAAAAAJkEAABkcnMvZG93bnJldi54bWxQSwUGAAAAAAQABADzAAAApQUAAAAA&#10;" fillcolor="#f2f2f2 [3052]" strokecolor="white [3212]">
            <v:textbox>
              <w:txbxContent>
                <w:p w:rsidR="00D81F2B" w:rsidRDefault="00D81F2B" w:rsidP="00883763">
                  <w:pPr>
                    <w:rPr>
                      <w:b/>
                    </w:rPr>
                  </w:pPr>
                </w:p>
                <w:p w:rsidR="00D81F2B" w:rsidRPr="006761A7" w:rsidRDefault="00D81F2B" w:rsidP="00883763">
                  <w:pPr>
                    <w:rPr>
                      <w:b/>
                    </w:rPr>
                  </w:pPr>
                  <w:r w:rsidRPr="006761A7">
                    <w:rPr>
                      <w:b/>
                    </w:rPr>
                    <w:t>Powiązane opracowania</w:t>
                  </w:r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1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Komunikaty i obwieszczenia Prezesa GUS</w:t>
                    </w:r>
                  </w:hyperlink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2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Informacje sygnalne</w:t>
                    </w:r>
                  </w:hyperlink>
                </w:p>
                <w:p w:rsidR="00D81F2B" w:rsidRPr="00E233EA" w:rsidRDefault="00D81F2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D81F2B" w:rsidRPr="00E233EA" w:rsidRDefault="00D81F2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 w:rsidRPr="00E233EA">
                    <w:rPr>
                      <w:b/>
                      <w:color w:val="000000" w:themeColor="text1"/>
                      <w:szCs w:val="24"/>
                    </w:rPr>
                    <w:t>Temat dostępny w bazach danych</w:t>
                  </w:r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3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Dziedzinowa Baza Wiedzy (DBW) Ceny</w:t>
                    </w:r>
                  </w:hyperlink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4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Makroekonomicznych (BDM)</w:t>
                    </w:r>
                  </w:hyperlink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5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Bank Danych Lokalnych (BDL)</w:t>
                    </w:r>
                  </w:hyperlink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6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Wskaźniki cen (Obszary tematyczne: Ceny. Handel)</w:t>
                    </w:r>
                  </w:hyperlink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7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Ceny (Obszary tematyczne: Ceny. Handel)</w:t>
                    </w:r>
                  </w:hyperlink>
                </w:p>
                <w:p w:rsidR="00D81F2B" w:rsidRPr="006761A7" w:rsidRDefault="00D81F2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</w:p>
                <w:p w:rsidR="00D81F2B" w:rsidRDefault="00D81F2B" w:rsidP="00883763">
                  <w:pPr>
                    <w:rPr>
                      <w:b/>
                      <w:color w:val="000000" w:themeColor="text1"/>
                      <w:szCs w:val="24"/>
                    </w:rPr>
                  </w:pPr>
                  <w:r>
                    <w:rPr>
                      <w:b/>
                      <w:color w:val="000000" w:themeColor="text1"/>
                      <w:szCs w:val="24"/>
                    </w:rPr>
                    <w:t>Ważniejsze</w:t>
                  </w:r>
                  <w:r w:rsidRPr="00505A92">
                    <w:rPr>
                      <w:b/>
                      <w:color w:val="000000" w:themeColor="text1"/>
                      <w:szCs w:val="24"/>
                    </w:rPr>
                    <w:t xml:space="preserve"> pojęcia dostępne w słowniku</w:t>
                  </w:r>
                </w:p>
                <w:p w:rsidR="00D81F2B" w:rsidRPr="006761A7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8" w:history="1">
                    <w:r w:rsidRPr="006761A7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Wskaźnik cen towarów i usług konsumpcyjnych</w:t>
                    </w:r>
                  </w:hyperlink>
                </w:p>
                <w:p w:rsidR="00D81F2B" w:rsidRPr="00065E4D" w:rsidRDefault="00D81F2B" w:rsidP="00883763">
                  <w:pPr>
                    <w:rPr>
                      <w:rStyle w:val="Hipercze"/>
                      <w:rFonts w:cs="Arial"/>
                      <w:color w:val="001D77"/>
                      <w:sz w:val="18"/>
                      <w:szCs w:val="30"/>
                      <w:shd w:val="clear" w:color="auto" w:fill="F0F0F0"/>
                    </w:rPr>
                  </w:pPr>
                  <w:hyperlink r:id="rId39" w:history="1">
                    <w:r w:rsidRPr="00065E4D">
                      <w:rPr>
                        <w:rStyle w:val="Hipercze"/>
                        <w:rFonts w:cs="Arial"/>
                        <w:color w:val="001D77"/>
                        <w:sz w:val="18"/>
                        <w:szCs w:val="30"/>
                        <w:shd w:val="clear" w:color="auto" w:fill="F0F0F0"/>
                      </w:rPr>
                      <w:t>Cena detaliczna</w:t>
                    </w:r>
                  </w:hyperlink>
                </w:p>
              </w:txbxContent>
            </v:textbox>
            <w10:wrap type="square" anchorx="margin"/>
          </v:shape>
        </w:pict>
      </w:r>
    </w:p>
    <w:sectPr w:rsidR="00D261A2" w:rsidRPr="00065E4D" w:rsidSect="00EF7B36">
      <w:headerReference w:type="default" r:id="rId40"/>
      <w:footerReference w:type="default" r:id="rId41"/>
      <w:footnotePr>
        <w:numFmt w:val="lowerLetter"/>
      </w:footnotePr>
      <w:pgSz w:w="11906" w:h="16838" w:code="9"/>
      <w:pgMar w:top="720" w:right="3119" w:bottom="720" w:left="720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2B" w:rsidRDefault="00D81F2B" w:rsidP="000662E2">
      <w:pPr>
        <w:spacing w:after="0" w:line="240" w:lineRule="auto"/>
      </w:pPr>
      <w:r>
        <w:separator/>
      </w:r>
    </w:p>
  </w:endnote>
  <w:endnote w:type="continuationSeparator" w:id="0">
    <w:p w:rsidR="00D81F2B" w:rsidRDefault="00D81F2B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7"/>
      <w:docPartObj>
        <w:docPartGallery w:val="Page Numbers (Bottom of Page)"/>
        <w:docPartUnique/>
      </w:docPartObj>
    </w:sdtPr>
    <w:sdtContent>
      <w:p w:rsidR="00D81F2B" w:rsidRDefault="00D81F2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0488"/>
      <w:docPartObj>
        <w:docPartGallery w:val="Page Numbers (Bottom of Page)"/>
        <w:docPartUnique/>
      </w:docPartObj>
    </w:sdtPr>
    <w:sdtContent>
      <w:p w:rsidR="00D81F2B" w:rsidRDefault="00D81F2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5636839"/>
      <w:docPartObj>
        <w:docPartGallery w:val="Page Numbers (Bottom of Page)"/>
        <w:docPartUnique/>
      </w:docPartObj>
    </w:sdtPr>
    <w:sdtContent>
      <w:p w:rsidR="00D81F2B" w:rsidRDefault="00D81F2B" w:rsidP="003B18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2B" w:rsidRDefault="00D81F2B" w:rsidP="000662E2">
      <w:pPr>
        <w:spacing w:after="0" w:line="240" w:lineRule="auto"/>
      </w:pPr>
      <w:r>
        <w:separator/>
      </w:r>
    </w:p>
  </w:footnote>
  <w:footnote w:type="continuationSeparator" w:id="0">
    <w:p w:rsidR="00D81F2B" w:rsidRDefault="00D81F2B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2B" w:rsidRDefault="00D81F2B">
    <w:pPr>
      <w:pStyle w:val="Nagwek"/>
    </w:pPr>
    <w:r>
      <w:rPr>
        <w:noProof/>
        <w:lang w:val="en-GB" w:eastAsia="en-GB"/>
      </w:rPr>
      <w:pict>
        <v:rect id="Prostokąt 24" o:spid="_x0000_s2052" style="position:absolute;margin-left:410.6pt;margin-top:-14.05pt;width:147.6pt;height:1785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32sQIAAMYFAAAOAAAAZHJzL2Uyb0RvYy54bWysVM1u2zAMvg/YOwi6r3aMpD9GnSJo0WFA&#10;1gVrh54VWY6NyqImKXGy+95sDzZKst20K3YYdhEk8uPHH5G8vNq3kuyEsQ2ogk5OUkqE4lA2alPQ&#10;bw+3H84psY6pkklQoqAHYenV/P27y07nIoMaZCkMQRJl804XtHZO50lieS1aZk9AC4XKCkzLHD7N&#10;JikN65C9lUmWpqdJB6bUBriwFqU3UUnngb+qBHdfqsoKR2RBMTYXThPOtT+T+SXLN4bpuuF9GOwf&#10;omhZo9DpSHXDHCNb0/xB1TbcgIXKnXBoE6iqhouQA2YzSV9lc18zLUIuWByrxzLZ/0fL73YrQ5qy&#10;oNmUEsVa/KMVRujg6ddPR1CIFeq0zRF4r1fG52j1EviTRUXyQuMftsfsK9N6LGZI9qHch7HcYu8I&#10;R+Hk/Gw6y/BXOOqy7PQ8zS5m3l/C8sFeG+s+CmiJvxTU4IeGOrPd0roIHSAhNJBNedtIGR6+icS1&#10;NGTH8PvXm0kwldv2M5RRdjFL09AE6DL0nIeHAOwxk1SeT4Fnjk69JGQfEw6pu4MUHifVV1FhTTHF&#10;LHgcmaNTxrlQLgZja1aKKPahvB1LIPTMFfofuXuCl0kO3DHKHu9NRRiG0Tj9W2DReLQInkG50bht&#10;FJi3CCRm1XuO+KFIsTS+SmsoD9hxBuIoWs1vG/zaJbNuxQzOHvYD7hP3BY9KQldQ6G+U1GB+vCX3&#10;eBwJ1FLS4SwX1H7fMiMokZ8UDsvFZDr1wx8e09mZ7zlzrFkfa9S2vQbslwluLs3D1eOdHK6VgfYR&#10;187Ce0UVUxx9F5Q7MzyuXdwxuLi4WCwCDAdeM7dU95p7cl9V37oP+0dmdN/fDmfjDoa5Z/mrNo9Y&#10;b6lgsXVQNWEGnuva1xuXRWjifrH5bXT8Dqjn9Tv/DQAA//8DAFBLAwQUAAYACAAAACEALkWX+uQA&#10;AAANAQAADwAAAGRycy9kb3ducmV2LnhtbEyPXUvDMBSG7wX/QziCd1uSbiul6+kQcaD4wayy66SJ&#10;bbFJSpNu9d+bXenl4X143+cUu9n05KRH3zmLwJcMiLa1U51tED4/9osMiA/CKtE7qxF+tIddeX1V&#10;iFy5s33Xpyo0JJZYnwuENoQhp9TXrTbCL92gbcy+3GhEiOfYUDWKcyw3PU0YS6kRnY0LrRj0favr&#10;72oyCG/Pm5cjO2SHuZKv9ZPcP8jpkSHe3sx3WyBBz+EPhot+VIcyOkk3WeVJj5AlPIkowiLJOJAL&#10;wXm6BiIRVpv1KgVaFvT/F+UvAAAA//8DAFBLAQItABQABgAIAAAAIQC2gziS/gAAAOEBAAATAAAA&#10;AAAAAAAAAAAAAAAAAABbQ29udGVudF9UeXBlc10ueG1sUEsBAi0AFAAGAAgAAAAhADj9If/WAAAA&#10;lAEAAAsAAAAAAAAAAAAAAAAALwEAAF9yZWxzLy5yZWxzUEsBAi0AFAAGAAgAAAAhAC4G7faxAgAA&#10;xgUAAA4AAAAAAAAAAAAAAAAALgIAAGRycy9lMm9Eb2MueG1sUEsBAi0AFAAGAAgAAAAhAC5Fl/rk&#10;AAAADQEAAA8AAAAAAAAAAAAAAAAACwUAAGRycy9kb3ducmV2LnhtbFBLBQYAAAAABAAEAPMAAAAc&#10;BgAAAAA=&#10;" fillcolor="#f2f2f2 [3052]" stroked="f" strokeweight="1pt">
          <v:path arrowok="t"/>
        </v:rect>
      </w:pict>
    </w:r>
  </w:p>
  <w:p w:rsidR="00D81F2B" w:rsidRDefault="00D81F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2B" w:rsidRDefault="00D81F2B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rect id="Prostokąt 10" o:spid="_x0000_s2050" style="position:absolute;margin-left:411.45pt;margin-top:15.3pt;width:147.4pt;height:812.4pt;z-index:-251650048;visibility:visible;mso-width-relative:margin;mso-height-relative:margin;v-text-anchor:middle" wrapcoords="-110 0 -110 21591 21600 21591 21600 0 -110 0" fillcolor="#f2f2f2" stroked="f" strokeweight="1pt">
          <v:path arrowok="t"/>
          <w10:wrap type="tight"/>
        </v:rect>
      </w:pict>
    </w:r>
    <w:r w:rsidRPr="00502F8C">
      <w:rPr>
        <w:noProof/>
        <w:lang w:val="en-GB" w:eastAsia="en-GB"/>
      </w:rPr>
      <w:drawing>
        <wp:inline distT="0" distB="0" distL="0" distR="0" wp14:anchorId="05D221F2" wp14:editId="696CEDB8">
          <wp:extent cx="1153274" cy="720000"/>
          <wp:effectExtent l="0" t="0" r="0" b="4445"/>
          <wp:docPr id="2" name="Obraz 2" descr="logo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27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pict>
        <v:shape id="Schemat blokowy: opóźnienie 6" o:spid="_x0000_s2051" style="position:absolute;margin-left:396.6pt;margin-top:15.65pt;width:162.25pt;height:28.15pt;flip:x;z-index:251668480;visibility:visible;mso-position-horizontal-relative:text;mso-position-vertical-relative:text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aRgYAACMsAAAOAAAAZHJzL2Uyb0RvYy54bWzsWlFv2zYQfh+w/0DoccBqUbIsy6hTZC26&#10;DQjaYunQ7pGWqVioJGokEzv9W3vb67D/tSMpOVSaiXKUDCnmoHAp8+4+Hu/TUZC/5y92ZYGuKBc5&#10;q5YefuZ7iFYpW+fVxdL79f3r7+ceEpJUa1Kwii69ayq8FyfffvN8Wy9owDasWFOOIEglFtt66W2k&#10;rBeTiUg3tCTiGatpBZMZ4yWRcMkvJmtOthC9LCaB788mW8bXNWcpFQK+fWUmvRMdP8toKt9mmaAS&#10;FUsP1ib1J9efK/U5OXlOFhec1Js8bZZB7rGKkuQVgO5DvSKSoEuefxGqzFPOBMvks5SVE5ZleUp1&#10;DpAN9m9lc74hNdW5wOaIer9N4uHCpm+u3nGUr5de7KGKlFCic733Eq0K9oltrxeI1X/98fefVU7h&#10;H5qpLdvWYgGe5/U7rpIW9RlLPwmYmHRm1IVobHYZL1FW5PVPQBO9VZA82ulKXO8rQXcSpfBl4M/8&#10;KI48lMJcCCM/UrgTslBxFGZ6KeSPlOkxuToT0lRyDSNdh3WTTcqqSuSSfoTqZ2UBxf1ugny0RTMc&#10;4GlLgNvWv3WtN/3WH7EVO4Slx24A28VHLoDAAjALd2ZguzRrcqGEFsrANGyXZmEulKmF4t4n23og&#10;ANDmgEp3rV2L7/Jii3ASJoE/b/rIA9IIz8IQh3MoswPi/kRqArshRlJpcCojyYTDIPZnA7bsATjl&#10;KMqRVE7efiWkUh3KUeynTCcMyw8xDmfTcEiPwj4OsfM0sltOMPfjKA7dMLbTYQdes343xEhKDU5l&#10;bJ/C8XQaRu58RhJrQO3tPjWs9rcPwAPI5a66zZHB1bCd3BAdjpgbw12IjpN5vnM9KNgcGZyK7TTw&#10;YcfmCP6PiKV6oqPuNrHcRTmS6umSakCxbQ4OpG2XH49Np8QPoiAZcgC6uWq3mzBKZtMoUbdDP4Tt&#10;5IbotBsT2A3RcTqcToNTGdmj4jn8zdzpPASn+mvSpaCrn3/RovqDd81dwW16DC6E7fT/5pRuUf31&#10;eMp0iqazBOuHtf4cjpyCV3eDb4+RferxOTW07PfvUwG8EAlUqw2h6yaP8q4zDuaB3qp+iBG9ygR2&#10;ZzH2/PMHpvIQvOrfrJG9amDV708rU+8omuFHeO8Z+tMkmqqXeGHYCzGGUjqwG2I0pQamMpJSOIli&#10;fXz0b9hIWg2o+pFSTtZ+JZQaUOwnT6cIfg14lA4VBH5iOlQ/xIgOZQKrDtUPMZZOQ1MZ26Fi+KlV&#10;c6o/nYfgVD/CyBbVH3zEA/rQQhw51f6GH+C5eYfeX5MjpVw95EipllJPvEOB+uWi1beQTSt5SXdV&#10;o3mBESJKd+VrfU3NhNLX2AIYENO0l6BwMYIa8NJ6mn5nIIntjA9yhlPKdg4Ocoajx3bWP2PCTgxb&#10;Ntz9tvP0IGQ4K2znVoGkkc0Kmo3nIDNTArNCC8ykh0Bgxj0EArOVAiSLmkhVr3aItkrUZB5P0Gbp&#10;mXfmumglu6LvmTaUt9RRAHkzW1S2VWiOD73etq6tRXq5ytMf6OeOfThPkvnsxh6WqOH2q4LEcRj7&#10;oa7VXbNGH9TuZwfjTsQ2XQg8jSPcSmYaWGs9zWaYfTOLsrK7mVUV6MC2CZuQcBYDVMe8NWj/tw2/&#10;2LWCCWpuEFU8LT3bV1FD38jPBCvy9eu8KFTZBL9YvSw4uiJKcejjV3HcbFLHrNA3XcWUm4FR32j5&#10;nFHMae2cvC6oClpUv9AMVHpKGadpovWRdI9D0pRW0sjqxIasqYGPfPhr0ZWqT3noVHRAFTkD/H3s&#10;JkBraYK0sc0qG3vlSrW8cu9sms6/LMw47z00Mqvk3rnMK8bvyqyArBpkY99uktkatUtyt9qBiRqu&#10;2Poa5IycGZ2nqNPXORfyjAj5jnDQ/gErQKwq38JHVjC4DeF20yMPbRj/fNf3yh70ljDroS0IRZee&#10;+P2ScOqh4ucKlJgJnoKMEEl9MY3iAC64PbOyZ6rL8iUDZkA/hdXpobKXRTvMOCs/gKb1VKHCFKlS&#10;wIa+LaGjmIuXEq5hClSxKT091WNQkwI9z6rzOm31lTVk/n73gfAaqeHSk6CufMNaUSlZtLJJoPON&#10;rSpNxU4vJctypanUlDT72lyAElVzqFHNKqmrfa2tbrS9J/8AAAD//wMAUEsDBBQABgAIAAAAIQAw&#10;Twz13gAAAAoBAAAPAAAAZHJzL2Rvd25yZXYueG1sTI/BbsIwEETvlfoP1lbqrTghEqFpNgghtSdU&#10;qYTeTbxNAvY6ig2Ev685tcfVPM28LVeTNeJCo+8dI6SzBARx43TPLcK+fn9ZgvBBsVbGMSHcyMOq&#10;enwoVaHdlb/osgutiCXsC4XQhTAUUvqmI6v8zA3EMftxo1UhnmMr9aiusdwaOU+ShbSq57jQqYE2&#10;HTWn3dkiGLMZxjp83D7rZr3dJ/U2fB894vPTtH4DEWgKfzDc9aM6VNHp4M6svTAI+Ws2jyhClmYg&#10;7kCa5jmIA8IyX4CsSvn/heoXAAD//wMAUEsBAi0AFAAGAAgAAAAhALaDOJL+AAAA4QEAABMAAAAA&#10;AAAAAAAAAAAAAAAAAFtDb250ZW50X1R5cGVzXS54bWxQSwECLQAUAAYACAAAACEAOP0h/9YAAACU&#10;AQAACwAAAAAAAAAAAAAAAAAvAQAAX3JlbHMvLnJlbHNQSwECLQAUAAYACAAAACEAwaRoGkYGAAAj&#10;LAAADgAAAAAAAAAAAAAAAAAuAgAAZHJzL2Uyb0RvYy54bWxQSwECLQAUAAYACAAAACEAME8M9d4A&#10;AAAKAQAADwAAAAAAAAAAAAAAAACgCAAAZHJzL2Rvd25yZXYueG1sUEsFBgAAAAAEAAQA8wAAAKsJ&#10;AAAAAA==&#10;" adj="-11796480,,5400" path="m,l3220948,v169038,,306070,137032,306070,306070c3527018,475108,3389986,612140,3220948,612140l,612140,,xe" fillcolor="#001d77" stroked="f" strokeweight="1pt">
          <v:stroke joinstyle="miter"/>
          <v:formulas/>
          <v:path arrowok="t" o:connecttype="custom" o:connectlocs="0,0;1881761,0;2060575,178753;1881761,357505;0,357505;0,0" o:connectangles="0,0,0,0,0,0" textboxrect="0,0,3527018,612140"/>
          <v:textbox style="mso-next-textbox:#Schemat blokowy: opóźnienie 6">
            <w:txbxContent>
              <w:p w:rsidR="00D81F2B" w:rsidRPr="003C6C8D" w:rsidRDefault="00D81F2B" w:rsidP="00074DD8">
                <w:pPr>
                  <w:spacing w:before="0" w:after="0" w:line="240" w:lineRule="auto"/>
                  <w:ind w:left="227"/>
                  <w:jc w:val="both"/>
                  <w:rPr>
                    <w:rFonts w:ascii="Fira Sans SemiBold" w:hAnsi="Fira Sans SemiBold"/>
                  </w:rPr>
                </w:pPr>
                <w:r>
                  <w:rPr>
                    <w:rFonts w:ascii="Fira Sans SemiBold" w:hAnsi="Fira Sans SemiBold"/>
                  </w:rPr>
                  <w:t>INFORMACJE SYGNALNE</w:t>
                </w:r>
              </w:p>
            </w:txbxContent>
          </v:textbox>
        </v:shape>
      </w:pict>
    </w:r>
  </w:p>
  <w:p w:rsidR="00D81F2B" w:rsidRDefault="00D81F2B">
    <w:pPr>
      <w:pStyle w:val="Nagwek"/>
      <w:rPr>
        <w:noProof/>
        <w:lang w:eastAsia="pl-PL"/>
      </w:rPr>
    </w:pP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pt;margin-top:20.95pt;width:112.8pt;height:26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1mEAIAAP4DAAAOAAAAZHJzL2Uyb0RvYy54bWysU9Fu2yAUfZ+0f0C8L06cOGutkKpr12lS&#10;t1Xq9gEE4xgVuAxI7Ozrd8FpGm1vVf2AwJd77j3nHlZXg9FkL31QYBmdTaaUSCugUXbL6K+fdx8u&#10;KAmR24ZrsJLRgwz0av3+3ap3tSyhA91ITxDEhrp3jHYxurooguik4WECTloMtuANj3j026LxvEd0&#10;o4tyOl0WPfjGeRAyBPx7OwbpOuO3rRTxR9sGGYlmFHuLefV53aS1WK94vfXcdUoc2+Cv6MJwZbHo&#10;CeqWR052Xv0HZZTwEKCNEwGmgLZVQmYOyGY2/YfNY8edzFxQnOBOMoW3gxXf9w+eqIbRihLLDY7o&#10;AbQkUT6FCL0kZZKod6HGm48O78bhEww46kw3uHsQT4FYuOm43cpr76HvJG+wxVnKLM5SR5yQQDb9&#10;N2iwFt9FyEBD603SDxUhiI6jOpzGI4dIRCq5mJfVEkMCY/P5sqry/ApeP2c7H+IXCYakDaMex5/R&#10;+f4+xNQNr5+vpGIW7pTW2QLakp7Ry6qscsJZxKiIDtXKMHoxTd/omUTys21ycuRKj3ssoO2RdSI6&#10;Uo7DZsgaZ0mSIhtoDiiDh9GQ+IBw04H/Q0mPZmQ0/N5xLynRXy1KeTlbLJJ782FRfSzx4M8jm/MI&#10;twKhGI2UjNubmB0/Ur5GyVuV1Xjp5NgymiyLdHwQycXn53zr5dmu/wIAAP//AwBQSwMEFAAGAAgA&#10;AAAhAGtncR3eAAAACgEAAA8AAABkcnMvZG93bnJldi54bWxMj8FOwzAQRO9I/IO1SNyo3Si0Tcim&#10;qoq4gmgBiZsbb5OIeB3FbhP+HvdEj6MZzbwp1pPtxJkG3zpGmM8UCOLKmZZrhI/9y8MKhA+aje4c&#10;E8IveViXtzeFzo0b+Z3Ou1CLWMI+1whNCH0upa8astrPXE8cvaMbrA5RDrU0gx5jue1kotRCWt1y&#10;XGh0T9uGqp/dySJ8vh6/v1L1Vj/bx350k5JsM4l4fzdtnkAEmsJ/GC74ER3KyHRwJzZedAirJIlf&#10;AkI6z0BcAipdLkAcELI0A1kW8vpC+QcAAP//AwBQSwECLQAUAAYACAAAACEAtoM4kv4AAADhAQAA&#10;EwAAAAAAAAAAAAAAAAAAAAAAW0NvbnRlbnRfVHlwZXNdLnhtbFBLAQItABQABgAIAAAAIQA4/SH/&#10;1gAAAJQBAAALAAAAAAAAAAAAAAAAAC8BAABfcmVscy8ucmVsc1BLAQItABQABgAIAAAAIQBCIw1m&#10;EAIAAP4DAAAOAAAAAAAAAAAAAAAAAC4CAABkcnMvZTJvRG9jLnhtbFBLAQItABQABgAIAAAAIQBr&#10;Z3Ed3gAAAAoBAAAPAAAAAAAAAAAAAAAAAGoEAABkcnMvZG93bnJldi54bWxQSwUGAAAAAAQABADz&#10;AAAAdQUAAAAA&#10;" filled="f" stroked="f">
          <v:textbox style="mso-next-textbox:#_x0000_s2049">
            <w:txbxContent>
              <w:p w:rsidR="00D81F2B" w:rsidRPr="00C97596" w:rsidRDefault="00D81F2B" w:rsidP="00F37172">
                <w:pPr>
                  <w:jc w:val="both"/>
                  <w:rPr>
                    <w:rFonts w:ascii="Fira Sans SemiBold" w:hAnsi="Fira Sans SemiBold"/>
                    <w:color w:val="001D77"/>
                  </w:rPr>
                </w:pPr>
                <w:r>
                  <w:rPr>
                    <w:rFonts w:ascii="Fira Sans SemiBold" w:hAnsi="Fira Sans SemiBold"/>
                    <w:color w:val="001D77"/>
                  </w:rPr>
                  <w:t>15.10.2019</w:t>
                </w:r>
                <w:r w:rsidRPr="00C97596">
                  <w:rPr>
                    <w:rFonts w:ascii="Fira Sans SemiBold" w:hAnsi="Fira Sans SemiBold"/>
                    <w:color w:val="001D77"/>
                  </w:rPr>
                  <w:t xml:space="preserve"> r.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F2B" w:rsidRDefault="00D81F2B">
    <w:pPr>
      <w:pStyle w:val="Nagwek"/>
    </w:pPr>
  </w:p>
  <w:p w:rsidR="00D81F2B" w:rsidRDefault="00D81F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3pt;height:125.25pt;visibility:visible" o:bullet="t">
        <v:imagedata r:id="rId1" o:title=""/>
      </v:shape>
    </w:pict>
  </w:numPicBullet>
  <w:numPicBullet w:numPicBulletId="1">
    <w:pict>
      <v:shape id="_x0000_i1029" type="#_x0000_t75" style="width:123.75pt;height:125.25pt;visibility:visible" o:bullet="t">
        <v:imagedata r:id="rId2" o:title=""/>
      </v:shape>
    </w:pict>
  </w:numPicBullet>
  <w:abstractNum w:abstractNumId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54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D87"/>
    <w:rsid w:val="0000074C"/>
    <w:rsid w:val="00001C5B"/>
    <w:rsid w:val="00003437"/>
    <w:rsid w:val="0000709F"/>
    <w:rsid w:val="000108B8"/>
    <w:rsid w:val="000152F5"/>
    <w:rsid w:val="0001700C"/>
    <w:rsid w:val="000201FC"/>
    <w:rsid w:val="00024B66"/>
    <w:rsid w:val="00030ACD"/>
    <w:rsid w:val="00034160"/>
    <w:rsid w:val="0003614E"/>
    <w:rsid w:val="0004015D"/>
    <w:rsid w:val="0004582E"/>
    <w:rsid w:val="0004646A"/>
    <w:rsid w:val="000470AA"/>
    <w:rsid w:val="000531EB"/>
    <w:rsid w:val="00057CA1"/>
    <w:rsid w:val="000609C1"/>
    <w:rsid w:val="00065E4D"/>
    <w:rsid w:val="000662E2"/>
    <w:rsid w:val="00066883"/>
    <w:rsid w:val="00074DD8"/>
    <w:rsid w:val="000800B4"/>
    <w:rsid w:val="000806F7"/>
    <w:rsid w:val="00097840"/>
    <w:rsid w:val="000A014D"/>
    <w:rsid w:val="000A0FD3"/>
    <w:rsid w:val="000A350D"/>
    <w:rsid w:val="000A6963"/>
    <w:rsid w:val="000A7F1A"/>
    <w:rsid w:val="000B0727"/>
    <w:rsid w:val="000B5393"/>
    <w:rsid w:val="000C135D"/>
    <w:rsid w:val="000D1D43"/>
    <w:rsid w:val="000D225C"/>
    <w:rsid w:val="000D2465"/>
    <w:rsid w:val="000D2A5C"/>
    <w:rsid w:val="000E0918"/>
    <w:rsid w:val="000F2650"/>
    <w:rsid w:val="001011C3"/>
    <w:rsid w:val="00110D87"/>
    <w:rsid w:val="001149A1"/>
    <w:rsid w:val="00114DB9"/>
    <w:rsid w:val="00116087"/>
    <w:rsid w:val="00130296"/>
    <w:rsid w:val="001315A3"/>
    <w:rsid w:val="00132297"/>
    <w:rsid w:val="00133A82"/>
    <w:rsid w:val="00135B65"/>
    <w:rsid w:val="00142037"/>
    <w:rsid w:val="001423B6"/>
    <w:rsid w:val="001441A0"/>
    <w:rsid w:val="001448A3"/>
    <w:rsid w:val="001448A7"/>
    <w:rsid w:val="00146621"/>
    <w:rsid w:val="00162325"/>
    <w:rsid w:val="00165856"/>
    <w:rsid w:val="00194845"/>
    <w:rsid w:val="001951DA"/>
    <w:rsid w:val="001A3A7F"/>
    <w:rsid w:val="001A7573"/>
    <w:rsid w:val="001A78D0"/>
    <w:rsid w:val="001B7E7B"/>
    <w:rsid w:val="001C1375"/>
    <w:rsid w:val="001C3269"/>
    <w:rsid w:val="001C7312"/>
    <w:rsid w:val="001D1DB4"/>
    <w:rsid w:val="001E1D94"/>
    <w:rsid w:val="001E7DBB"/>
    <w:rsid w:val="001F439C"/>
    <w:rsid w:val="001F60D1"/>
    <w:rsid w:val="002268BB"/>
    <w:rsid w:val="002574F9"/>
    <w:rsid w:val="00257A17"/>
    <w:rsid w:val="002621B1"/>
    <w:rsid w:val="00262B61"/>
    <w:rsid w:val="0026302B"/>
    <w:rsid w:val="002724FF"/>
    <w:rsid w:val="00275FA6"/>
    <w:rsid w:val="00276811"/>
    <w:rsid w:val="00276C9A"/>
    <w:rsid w:val="00280D7C"/>
    <w:rsid w:val="00282699"/>
    <w:rsid w:val="00285768"/>
    <w:rsid w:val="00290CB6"/>
    <w:rsid w:val="002926DF"/>
    <w:rsid w:val="00295056"/>
    <w:rsid w:val="00296697"/>
    <w:rsid w:val="00296EB3"/>
    <w:rsid w:val="002A4D80"/>
    <w:rsid w:val="002B0472"/>
    <w:rsid w:val="002B5049"/>
    <w:rsid w:val="002B6B12"/>
    <w:rsid w:val="002D0020"/>
    <w:rsid w:val="002E6140"/>
    <w:rsid w:val="002E6985"/>
    <w:rsid w:val="002E71B6"/>
    <w:rsid w:val="002F77C8"/>
    <w:rsid w:val="003047EF"/>
    <w:rsid w:val="00304F22"/>
    <w:rsid w:val="00305162"/>
    <w:rsid w:val="00306C7C"/>
    <w:rsid w:val="003077B5"/>
    <w:rsid w:val="00310F90"/>
    <w:rsid w:val="00317C90"/>
    <w:rsid w:val="00322EDD"/>
    <w:rsid w:val="00332320"/>
    <w:rsid w:val="00336B88"/>
    <w:rsid w:val="003405A4"/>
    <w:rsid w:val="00341C29"/>
    <w:rsid w:val="00343BBC"/>
    <w:rsid w:val="00347D72"/>
    <w:rsid w:val="00357611"/>
    <w:rsid w:val="00367237"/>
    <w:rsid w:val="0037077F"/>
    <w:rsid w:val="00372411"/>
    <w:rsid w:val="0037258A"/>
    <w:rsid w:val="00373882"/>
    <w:rsid w:val="003843DB"/>
    <w:rsid w:val="003901AC"/>
    <w:rsid w:val="00393761"/>
    <w:rsid w:val="00397181"/>
    <w:rsid w:val="00397D18"/>
    <w:rsid w:val="003A1B36"/>
    <w:rsid w:val="003A440F"/>
    <w:rsid w:val="003A7D83"/>
    <w:rsid w:val="003B1454"/>
    <w:rsid w:val="003B18B6"/>
    <w:rsid w:val="003B5096"/>
    <w:rsid w:val="003C59E0"/>
    <w:rsid w:val="003C6C8D"/>
    <w:rsid w:val="003D3B24"/>
    <w:rsid w:val="003D4F95"/>
    <w:rsid w:val="003D5F42"/>
    <w:rsid w:val="003D60A9"/>
    <w:rsid w:val="003D67C8"/>
    <w:rsid w:val="003D7BC2"/>
    <w:rsid w:val="003E3529"/>
    <w:rsid w:val="003E6F8F"/>
    <w:rsid w:val="003F4C97"/>
    <w:rsid w:val="003F54AA"/>
    <w:rsid w:val="003F7FE6"/>
    <w:rsid w:val="00400193"/>
    <w:rsid w:val="004002CD"/>
    <w:rsid w:val="004009D2"/>
    <w:rsid w:val="004212E7"/>
    <w:rsid w:val="0042446D"/>
    <w:rsid w:val="004276B0"/>
    <w:rsid w:val="00427BF8"/>
    <w:rsid w:val="00431C02"/>
    <w:rsid w:val="00437395"/>
    <w:rsid w:val="00445047"/>
    <w:rsid w:val="00453304"/>
    <w:rsid w:val="00454E14"/>
    <w:rsid w:val="004566AB"/>
    <w:rsid w:val="0045762F"/>
    <w:rsid w:val="004601AC"/>
    <w:rsid w:val="00463E39"/>
    <w:rsid w:val="004657FC"/>
    <w:rsid w:val="004733F6"/>
    <w:rsid w:val="00474E69"/>
    <w:rsid w:val="0048486C"/>
    <w:rsid w:val="00486EE6"/>
    <w:rsid w:val="0049189D"/>
    <w:rsid w:val="00493217"/>
    <w:rsid w:val="0049621B"/>
    <w:rsid w:val="004C1895"/>
    <w:rsid w:val="004C6D40"/>
    <w:rsid w:val="004D119F"/>
    <w:rsid w:val="004D3ABE"/>
    <w:rsid w:val="004E21A3"/>
    <w:rsid w:val="004F0C3C"/>
    <w:rsid w:val="004F63FC"/>
    <w:rsid w:val="00501254"/>
    <w:rsid w:val="00501F76"/>
    <w:rsid w:val="00502E6F"/>
    <w:rsid w:val="00505A92"/>
    <w:rsid w:val="005077D1"/>
    <w:rsid w:val="00511F19"/>
    <w:rsid w:val="0051646A"/>
    <w:rsid w:val="00516A50"/>
    <w:rsid w:val="005203F1"/>
    <w:rsid w:val="0052058B"/>
    <w:rsid w:val="005214FA"/>
    <w:rsid w:val="00521BC3"/>
    <w:rsid w:val="00526A58"/>
    <w:rsid w:val="00533632"/>
    <w:rsid w:val="0053648F"/>
    <w:rsid w:val="00541E6E"/>
    <w:rsid w:val="0054251F"/>
    <w:rsid w:val="00542AFC"/>
    <w:rsid w:val="005520D8"/>
    <w:rsid w:val="00556CF1"/>
    <w:rsid w:val="00573DFA"/>
    <w:rsid w:val="005762A7"/>
    <w:rsid w:val="005762F6"/>
    <w:rsid w:val="0058363D"/>
    <w:rsid w:val="005875EB"/>
    <w:rsid w:val="005877DE"/>
    <w:rsid w:val="005916D7"/>
    <w:rsid w:val="0059573F"/>
    <w:rsid w:val="005A2784"/>
    <w:rsid w:val="005A698C"/>
    <w:rsid w:val="005C1AF8"/>
    <w:rsid w:val="005C209B"/>
    <w:rsid w:val="005D0389"/>
    <w:rsid w:val="005D1C04"/>
    <w:rsid w:val="005D470D"/>
    <w:rsid w:val="005E0799"/>
    <w:rsid w:val="005E2757"/>
    <w:rsid w:val="005E418C"/>
    <w:rsid w:val="005E6437"/>
    <w:rsid w:val="005F4399"/>
    <w:rsid w:val="005F5A80"/>
    <w:rsid w:val="006044FF"/>
    <w:rsid w:val="00604FF5"/>
    <w:rsid w:val="00607CC5"/>
    <w:rsid w:val="00613AEC"/>
    <w:rsid w:val="006149F0"/>
    <w:rsid w:val="0061655B"/>
    <w:rsid w:val="0062307C"/>
    <w:rsid w:val="006321A2"/>
    <w:rsid w:val="00633014"/>
    <w:rsid w:val="0063437B"/>
    <w:rsid w:val="006346A9"/>
    <w:rsid w:val="00636A57"/>
    <w:rsid w:val="00644254"/>
    <w:rsid w:val="00660778"/>
    <w:rsid w:val="00666DED"/>
    <w:rsid w:val="006673CA"/>
    <w:rsid w:val="006718A3"/>
    <w:rsid w:val="00673C26"/>
    <w:rsid w:val="00674A8B"/>
    <w:rsid w:val="006812AF"/>
    <w:rsid w:val="00682B23"/>
    <w:rsid w:val="0068327D"/>
    <w:rsid w:val="00683EDE"/>
    <w:rsid w:val="00685123"/>
    <w:rsid w:val="00691225"/>
    <w:rsid w:val="00691316"/>
    <w:rsid w:val="006920EA"/>
    <w:rsid w:val="00694AF0"/>
    <w:rsid w:val="00696814"/>
    <w:rsid w:val="006A4686"/>
    <w:rsid w:val="006B0B72"/>
    <w:rsid w:val="006B0E9E"/>
    <w:rsid w:val="006B208D"/>
    <w:rsid w:val="006B20B4"/>
    <w:rsid w:val="006B5AE4"/>
    <w:rsid w:val="006D1507"/>
    <w:rsid w:val="006D4054"/>
    <w:rsid w:val="006D5C42"/>
    <w:rsid w:val="006D6B72"/>
    <w:rsid w:val="006E02EC"/>
    <w:rsid w:val="006F145E"/>
    <w:rsid w:val="006F6B1F"/>
    <w:rsid w:val="007059D5"/>
    <w:rsid w:val="007063C3"/>
    <w:rsid w:val="007122CC"/>
    <w:rsid w:val="007162EB"/>
    <w:rsid w:val="007211B1"/>
    <w:rsid w:val="0072400B"/>
    <w:rsid w:val="00733D55"/>
    <w:rsid w:val="00740107"/>
    <w:rsid w:val="007408FF"/>
    <w:rsid w:val="007418B3"/>
    <w:rsid w:val="0074537D"/>
    <w:rsid w:val="00746187"/>
    <w:rsid w:val="00752A67"/>
    <w:rsid w:val="00761070"/>
    <w:rsid w:val="0076254F"/>
    <w:rsid w:val="00774934"/>
    <w:rsid w:val="00776D79"/>
    <w:rsid w:val="007801F5"/>
    <w:rsid w:val="00781552"/>
    <w:rsid w:val="00783CA4"/>
    <w:rsid w:val="007842FB"/>
    <w:rsid w:val="00786124"/>
    <w:rsid w:val="0078756B"/>
    <w:rsid w:val="00792E24"/>
    <w:rsid w:val="00793154"/>
    <w:rsid w:val="0079514B"/>
    <w:rsid w:val="00797060"/>
    <w:rsid w:val="007A2DC1"/>
    <w:rsid w:val="007A77F5"/>
    <w:rsid w:val="007B74D8"/>
    <w:rsid w:val="007D3319"/>
    <w:rsid w:val="007D335D"/>
    <w:rsid w:val="007E3314"/>
    <w:rsid w:val="007E4B03"/>
    <w:rsid w:val="007F045B"/>
    <w:rsid w:val="007F324B"/>
    <w:rsid w:val="007F3983"/>
    <w:rsid w:val="007F6195"/>
    <w:rsid w:val="00802A9A"/>
    <w:rsid w:val="0080553C"/>
    <w:rsid w:val="00805B46"/>
    <w:rsid w:val="00820461"/>
    <w:rsid w:val="00820B10"/>
    <w:rsid w:val="0082498D"/>
    <w:rsid w:val="00825DC2"/>
    <w:rsid w:val="00831172"/>
    <w:rsid w:val="00834AD3"/>
    <w:rsid w:val="00843795"/>
    <w:rsid w:val="008473E0"/>
    <w:rsid w:val="00847F0F"/>
    <w:rsid w:val="00852448"/>
    <w:rsid w:val="00860851"/>
    <w:rsid w:val="00866B61"/>
    <w:rsid w:val="00876337"/>
    <w:rsid w:val="0088258A"/>
    <w:rsid w:val="008832C4"/>
    <w:rsid w:val="00883763"/>
    <w:rsid w:val="00886332"/>
    <w:rsid w:val="00887348"/>
    <w:rsid w:val="008A26D9"/>
    <w:rsid w:val="008A4C58"/>
    <w:rsid w:val="008B4AE0"/>
    <w:rsid w:val="008C0C29"/>
    <w:rsid w:val="008C1A52"/>
    <w:rsid w:val="008C7879"/>
    <w:rsid w:val="008C7A01"/>
    <w:rsid w:val="008E64EF"/>
    <w:rsid w:val="008F3638"/>
    <w:rsid w:val="008F4441"/>
    <w:rsid w:val="008F6F31"/>
    <w:rsid w:val="008F74DF"/>
    <w:rsid w:val="0091008E"/>
    <w:rsid w:val="009127BA"/>
    <w:rsid w:val="00912EB7"/>
    <w:rsid w:val="00916782"/>
    <w:rsid w:val="00917CCF"/>
    <w:rsid w:val="009227A6"/>
    <w:rsid w:val="00927AD2"/>
    <w:rsid w:val="00933B26"/>
    <w:rsid w:val="00933EC1"/>
    <w:rsid w:val="00942DCA"/>
    <w:rsid w:val="0094622C"/>
    <w:rsid w:val="009530DB"/>
    <w:rsid w:val="00953676"/>
    <w:rsid w:val="009668F9"/>
    <w:rsid w:val="009705EE"/>
    <w:rsid w:val="00971217"/>
    <w:rsid w:val="0097339D"/>
    <w:rsid w:val="00977927"/>
    <w:rsid w:val="0098135C"/>
    <w:rsid w:val="0098156A"/>
    <w:rsid w:val="00982640"/>
    <w:rsid w:val="0098469A"/>
    <w:rsid w:val="00984980"/>
    <w:rsid w:val="00990133"/>
    <w:rsid w:val="00991BAC"/>
    <w:rsid w:val="009A6EA0"/>
    <w:rsid w:val="009B1399"/>
    <w:rsid w:val="009B6D11"/>
    <w:rsid w:val="009B746F"/>
    <w:rsid w:val="009C1335"/>
    <w:rsid w:val="009C1AB2"/>
    <w:rsid w:val="009C5407"/>
    <w:rsid w:val="009C7251"/>
    <w:rsid w:val="009D0FBC"/>
    <w:rsid w:val="009D1423"/>
    <w:rsid w:val="009E2E91"/>
    <w:rsid w:val="009E3BF4"/>
    <w:rsid w:val="009E3FA7"/>
    <w:rsid w:val="009E410D"/>
    <w:rsid w:val="009F4D4A"/>
    <w:rsid w:val="009F5815"/>
    <w:rsid w:val="009F5AB7"/>
    <w:rsid w:val="00A07F00"/>
    <w:rsid w:val="00A12435"/>
    <w:rsid w:val="00A139F5"/>
    <w:rsid w:val="00A15A51"/>
    <w:rsid w:val="00A2136A"/>
    <w:rsid w:val="00A27522"/>
    <w:rsid w:val="00A34C24"/>
    <w:rsid w:val="00A365F4"/>
    <w:rsid w:val="00A37CE0"/>
    <w:rsid w:val="00A459FF"/>
    <w:rsid w:val="00A460E6"/>
    <w:rsid w:val="00A46BD5"/>
    <w:rsid w:val="00A47937"/>
    <w:rsid w:val="00A47D80"/>
    <w:rsid w:val="00A51BB2"/>
    <w:rsid w:val="00A53132"/>
    <w:rsid w:val="00A563F2"/>
    <w:rsid w:val="00A566E8"/>
    <w:rsid w:val="00A60AEE"/>
    <w:rsid w:val="00A6676F"/>
    <w:rsid w:val="00A70953"/>
    <w:rsid w:val="00A7152F"/>
    <w:rsid w:val="00A810F9"/>
    <w:rsid w:val="00A8165F"/>
    <w:rsid w:val="00A82477"/>
    <w:rsid w:val="00A845DC"/>
    <w:rsid w:val="00A86ECC"/>
    <w:rsid w:val="00A86FCC"/>
    <w:rsid w:val="00A93892"/>
    <w:rsid w:val="00AA569E"/>
    <w:rsid w:val="00AA710D"/>
    <w:rsid w:val="00AB27B9"/>
    <w:rsid w:val="00AB6D25"/>
    <w:rsid w:val="00AD4947"/>
    <w:rsid w:val="00AD5F17"/>
    <w:rsid w:val="00AE20FD"/>
    <w:rsid w:val="00AE2D4B"/>
    <w:rsid w:val="00AE3075"/>
    <w:rsid w:val="00AE4F99"/>
    <w:rsid w:val="00B048A4"/>
    <w:rsid w:val="00B06265"/>
    <w:rsid w:val="00B11B69"/>
    <w:rsid w:val="00B14952"/>
    <w:rsid w:val="00B2412D"/>
    <w:rsid w:val="00B31357"/>
    <w:rsid w:val="00B31E5A"/>
    <w:rsid w:val="00B322EC"/>
    <w:rsid w:val="00B42DDD"/>
    <w:rsid w:val="00B609CE"/>
    <w:rsid w:val="00B611C1"/>
    <w:rsid w:val="00B617A5"/>
    <w:rsid w:val="00B653AB"/>
    <w:rsid w:val="00B65F9E"/>
    <w:rsid w:val="00B66B19"/>
    <w:rsid w:val="00B81B60"/>
    <w:rsid w:val="00B84277"/>
    <w:rsid w:val="00B86545"/>
    <w:rsid w:val="00B914E9"/>
    <w:rsid w:val="00B91831"/>
    <w:rsid w:val="00B94737"/>
    <w:rsid w:val="00B956EE"/>
    <w:rsid w:val="00B97152"/>
    <w:rsid w:val="00BA1AD0"/>
    <w:rsid w:val="00BA2BA1"/>
    <w:rsid w:val="00BA3562"/>
    <w:rsid w:val="00BA5A42"/>
    <w:rsid w:val="00BB4BE0"/>
    <w:rsid w:val="00BB4F09"/>
    <w:rsid w:val="00BB6447"/>
    <w:rsid w:val="00BB6E9C"/>
    <w:rsid w:val="00BC17C7"/>
    <w:rsid w:val="00BC2318"/>
    <w:rsid w:val="00BC427F"/>
    <w:rsid w:val="00BD4E33"/>
    <w:rsid w:val="00BE4B65"/>
    <w:rsid w:val="00BF790C"/>
    <w:rsid w:val="00C00EDA"/>
    <w:rsid w:val="00C030DE"/>
    <w:rsid w:val="00C057E5"/>
    <w:rsid w:val="00C110DB"/>
    <w:rsid w:val="00C11CBD"/>
    <w:rsid w:val="00C1766A"/>
    <w:rsid w:val="00C22105"/>
    <w:rsid w:val="00C244B6"/>
    <w:rsid w:val="00C27CB6"/>
    <w:rsid w:val="00C27D75"/>
    <w:rsid w:val="00C3702F"/>
    <w:rsid w:val="00C4500A"/>
    <w:rsid w:val="00C45CAF"/>
    <w:rsid w:val="00C522A5"/>
    <w:rsid w:val="00C55C91"/>
    <w:rsid w:val="00C56FB5"/>
    <w:rsid w:val="00C57F14"/>
    <w:rsid w:val="00C57FE4"/>
    <w:rsid w:val="00C61795"/>
    <w:rsid w:val="00C61D89"/>
    <w:rsid w:val="00C64A37"/>
    <w:rsid w:val="00C7158E"/>
    <w:rsid w:val="00C7250B"/>
    <w:rsid w:val="00C7346B"/>
    <w:rsid w:val="00C73B5E"/>
    <w:rsid w:val="00C77C0E"/>
    <w:rsid w:val="00C8000E"/>
    <w:rsid w:val="00C91687"/>
    <w:rsid w:val="00C920B2"/>
    <w:rsid w:val="00C924A8"/>
    <w:rsid w:val="00C945FE"/>
    <w:rsid w:val="00C950B4"/>
    <w:rsid w:val="00C96FAA"/>
    <w:rsid w:val="00C97A04"/>
    <w:rsid w:val="00CA107B"/>
    <w:rsid w:val="00CA484D"/>
    <w:rsid w:val="00CA4FB6"/>
    <w:rsid w:val="00CC17BD"/>
    <w:rsid w:val="00CC6180"/>
    <w:rsid w:val="00CC72FC"/>
    <w:rsid w:val="00CC739E"/>
    <w:rsid w:val="00CC75D3"/>
    <w:rsid w:val="00CD1E2E"/>
    <w:rsid w:val="00CD352D"/>
    <w:rsid w:val="00CD58B7"/>
    <w:rsid w:val="00CF08EF"/>
    <w:rsid w:val="00CF4099"/>
    <w:rsid w:val="00D00796"/>
    <w:rsid w:val="00D02D2C"/>
    <w:rsid w:val="00D14C59"/>
    <w:rsid w:val="00D1564D"/>
    <w:rsid w:val="00D261A2"/>
    <w:rsid w:val="00D3440A"/>
    <w:rsid w:val="00D401C9"/>
    <w:rsid w:val="00D43419"/>
    <w:rsid w:val="00D47B8D"/>
    <w:rsid w:val="00D538E4"/>
    <w:rsid w:val="00D54B01"/>
    <w:rsid w:val="00D616D2"/>
    <w:rsid w:val="00D63B5F"/>
    <w:rsid w:val="00D7066F"/>
    <w:rsid w:val="00D70EF7"/>
    <w:rsid w:val="00D7217D"/>
    <w:rsid w:val="00D7664A"/>
    <w:rsid w:val="00D76A0A"/>
    <w:rsid w:val="00D815F5"/>
    <w:rsid w:val="00D81F2B"/>
    <w:rsid w:val="00D8397C"/>
    <w:rsid w:val="00D9456F"/>
    <w:rsid w:val="00D94EED"/>
    <w:rsid w:val="00D96026"/>
    <w:rsid w:val="00DA0243"/>
    <w:rsid w:val="00DA0C7E"/>
    <w:rsid w:val="00DA433C"/>
    <w:rsid w:val="00DA52A7"/>
    <w:rsid w:val="00DA7C1C"/>
    <w:rsid w:val="00DB147A"/>
    <w:rsid w:val="00DB1B7A"/>
    <w:rsid w:val="00DC6708"/>
    <w:rsid w:val="00DC7CFA"/>
    <w:rsid w:val="00DE64C5"/>
    <w:rsid w:val="00DF712D"/>
    <w:rsid w:val="00E01436"/>
    <w:rsid w:val="00E045BD"/>
    <w:rsid w:val="00E17A9F"/>
    <w:rsid w:val="00E17B77"/>
    <w:rsid w:val="00E23337"/>
    <w:rsid w:val="00E259EA"/>
    <w:rsid w:val="00E27E85"/>
    <w:rsid w:val="00E30793"/>
    <w:rsid w:val="00E32061"/>
    <w:rsid w:val="00E41FCF"/>
    <w:rsid w:val="00E42FF9"/>
    <w:rsid w:val="00E4714C"/>
    <w:rsid w:val="00E51AEB"/>
    <w:rsid w:val="00E522A7"/>
    <w:rsid w:val="00E54452"/>
    <w:rsid w:val="00E63312"/>
    <w:rsid w:val="00E664C5"/>
    <w:rsid w:val="00E671A2"/>
    <w:rsid w:val="00E67A17"/>
    <w:rsid w:val="00E76D26"/>
    <w:rsid w:val="00E82C7E"/>
    <w:rsid w:val="00E93CDB"/>
    <w:rsid w:val="00E963C8"/>
    <w:rsid w:val="00EB02C9"/>
    <w:rsid w:val="00EB1390"/>
    <w:rsid w:val="00EB2C71"/>
    <w:rsid w:val="00EB4340"/>
    <w:rsid w:val="00EB4822"/>
    <w:rsid w:val="00EB4D71"/>
    <w:rsid w:val="00EB556D"/>
    <w:rsid w:val="00EB5A7D"/>
    <w:rsid w:val="00EB73D7"/>
    <w:rsid w:val="00EC2274"/>
    <w:rsid w:val="00ED55C0"/>
    <w:rsid w:val="00ED682B"/>
    <w:rsid w:val="00EE3F46"/>
    <w:rsid w:val="00EE41D5"/>
    <w:rsid w:val="00EE4ADB"/>
    <w:rsid w:val="00EE696D"/>
    <w:rsid w:val="00EF7B36"/>
    <w:rsid w:val="00F037A4"/>
    <w:rsid w:val="00F04465"/>
    <w:rsid w:val="00F04C11"/>
    <w:rsid w:val="00F10D63"/>
    <w:rsid w:val="00F12FEC"/>
    <w:rsid w:val="00F26013"/>
    <w:rsid w:val="00F27C8F"/>
    <w:rsid w:val="00F30A0C"/>
    <w:rsid w:val="00F32749"/>
    <w:rsid w:val="00F37172"/>
    <w:rsid w:val="00F4477E"/>
    <w:rsid w:val="00F45717"/>
    <w:rsid w:val="00F57391"/>
    <w:rsid w:val="00F60B5D"/>
    <w:rsid w:val="00F65EEC"/>
    <w:rsid w:val="00F6637E"/>
    <w:rsid w:val="00F67D8F"/>
    <w:rsid w:val="00F739B3"/>
    <w:rsid w:val="00F74B10"/>
    <w:rsid w:val="00F80247"/>
    <w:rsid w:val="00F802BE"/>
    <w:rsid w:val="00F80E93"/>
    <w:rsid w:val="00F86024"/>
    <w:rsid w:val="00F8611A"/>
    <w:rsid w:val="00F86C02"/>
    <w:rsid w:val="00F90BB1"/>
    <w:rsid w:val="00F93CA3"/>
    <w:rsid w:val="00FA0677"/>
    <w:rsid w:val="00FA5128"/>
    <w:rsid w:val="00FB2D00"/>
    <w:rsid w:val="00FB42D4"/>
    <w:rsid w:val="00FB5906"/>
    <w:rsid w:val="00FB762F"/>
    <w:rsid w:val="00FC1516"/>
    <w:rsid w:val="00FC2AED"/>
    <w:rsid w:val="00FD5EA7"/>
    <w:rsid w:val="00FD7DB8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/>
    <w:lsdException w:name="heading 4" w:uiPriority="9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siatki1jasnaakcent11">
    <w:name w:val="Tabela siatki 1 — jasna — akcent 1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">
    <w:name w:val="Siatka tabeli — jasna1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table" w:customStyle="1" w:styleId="Siatkatabelijasna11">
    <w:name w:val="Siatka tabeli — jasna11"/>
    <w:basedOn w:val="Standardowy"/>
    <w:uiPriority w:val="40"/>
    <w:rsid w:val="006851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0609C1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68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68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8F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68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68F9"/>
    <w:rPr>
      <w:rFonts w:ascii="Fira Sans" w:hAnsi="Fira Sans"/>
      <w:b/>
      <w:bCs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66B61"/>
  </w:style>
  <w:style w:type="table" w:customStyle="1" w:styleId="Tabelasiatki1jasnaakcent111">
    <w:name w:val="Tabela siatki 1 — jasna — akcent 111"/>
    <w:basedOn w:val="Standardowy"/>
    <w:uiPriority w:val="46"/>
    <w:rsid w:val="00866B6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iatkatabelijasna12">
    <w:name w:val="Siatka tabeli — jasna12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11">
    <w:name w:val="Siatka tabeli — jasna111"/>
    <w:basedOn w:val="Standardowy"/>
    <w:uiPriority w:val="40"/>
    <w:rsid w:val="00866B6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26" Type="http://schemas.openxmlformats.org/officeDocument/2006/relationships/hyperlink" Target="https://stat.gov.pl/" TargetMode="External"/><Relationship Id="rId39" Type="http://schemas.openxmlformats.org/officeDocument/2006/relationships/hyperlink" Target="http://stat.gov.pl/metainformacje/slownik-pojec/pojecia-stosowane-w-statystyce-publicznej/32,pojecie.htm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hyperlink" Target="http://bdm.stat.gov.pl/" TargetMode="External"/><Relationship Id="rId42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17" Type="http://schemas.openxmlformats.org/officeDocument/2006/relationships/chart" Target="charts/chart5.xml"/><Relationship Id="rId25" Type="http://schemas.openxmlformats.org/officeDocument/2006/relationships/image" Target="media/image5.png"/><Relationship Id="rId33" Type="http://schemas.openxmlformats.org/officeDocument/2006/relationships/hyperlink" Target="http://swaid.stat.gov.pl/SitePagesDBW/Ceny.aspx" TargetMode="External"/><Relationship Id="rId38" Type="http://schemas.openxmlformats.org/officeDocument/2006/relationships/hyperlink" Target="http://stat.gov.pl/metainformacje/slownik-pojec/pojecia-stosowane-w-statystyce-publicznej/711,pojecie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header" Target="header2.xml"/><Relationship Id="rId29" Type="http://schemas.openxmlformats.org/officeDocument/2006/relationships/image" Target="media/image7.png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obslugaprasowa@stat.gov.pl" TargetMode="External"/><Relationship Id="rId32" Type="http://schemas.openxmlformats.org/officeDocument/2006/relationships/hyperlink" Target="http://stat.gov.pl/sygnalne/informacje-sygnalne/" TargetMode="External"/><Relationship Id="rId37" Type="http://schemas.openxmlformats.org/officeDocument/2006/relationships/hyperlink" Target="http://stat.gov.pl/obszary-tematyczne/ceny-handel/ceny/" TargetMode="External"/><Relationship Id="rId40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chart" Target="charts/chart3.xml"/><Relationship Id="rId23" Type="http://schemas.openxmlformats.org/officeDocument/2006/relationships/hyperlink" Target="mailto:rzecznik@stat.gov.pl" TargetMode="External"/><Relationship Id="rId28" Type="http://schemas.openxmlformats.org/officeDocument/2006/relationships/hyperlink" Target="https://twitter.com/GUS_STAT" TargetMode="External"/><Relationship Id="rId36" Type="http://schemas.openxmlformats.org/officeDocument/2006/relationships/hyperlink" Target="http://stat.gov.pl/obszary-tematyczne/ceny-handel/wskazniki-cen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hyperlink" Target="http://stat.gov.pl/sygnalne/komunikaty-i-obwieszczenia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Relationship Id="rId22" Type="http://schemas.openxmlformats.org/officeDocument/2006/relationships/hyperlink" Target="mailto:a.bobel@stat.gov.pl" TargetMode="External"/><Relationship Id="rId27" Type="http://schemas.openxmlformats.org/officeDocument/2006/relationships/image" Target="media/image6.png"/><Relationship Id="rId30" Type="http://schemas.openxmlformats.org/officeDocument/2006/relationships/hyperlink" Target="https://www.facebook.com/GlownyUrzadStatystyczny/" TargetMode="External"/><Relationship Id="rId35" Type="http://schemas.openxmlformats.org/officeDocument/2006/relationships/hyperlink" Target="https://bdl.stat.gov.pl/BDL/start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3571922135790392"/>
          <c:y val="5.3855340776704272E-2"/>
          <c:w val="0.5151846178659778"/>
          <c:h val="0.8429058599391052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7.4279464360269484E-3"/>
                  <c:y val="9.151541316541554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7.438316152645201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954768209071298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50857116038219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958877435096792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4.9588774350968982E-3"/>
                  <c:y val="-3.9935070083662775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9483864282716282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5.009818427616871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8.1261315589594585E-5"/>
                  <c:y val="-4.567102520985078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WPŁYWY!$A$1:$A$11</c:f>
              <c:strCache>
                <c:ptCount val="11"/>
                <c:pt idx="0">
                  <c:v>Usługi transportowe</c:v>
                </c:pt>
                <c:pt idx="1">
                  <c:v>Warzywa</c:v>
                </c:pt>
                <c:pt idx="2">
                  <c:v>Paliwa do prywatnych środków transportu</c:v>
                </c:pt>
                <c:pt idx="3">
                  <c:v>Turystyka zorganizowana</c:v>
                </c:pt>
                <c:pt idx="4">
                  <c:v>Usługi telekomunikacyjne</c:v>
                </c:pt>
                <c:pt idx="5">
                  <c:v>Wywóz śmieci</c:v>
                </c:pt>
                <c:pt idx="6">
                  <c:v>Wyroby farmaceutyczne</c:v>
                </c:pt>
                <c:pt idx="7">
                  <c:v>Ubezpieczenia</c:v>
                </c:pt>
                <c:pt idx="8">
                  <c:v>Gastronomia</c:v>
                </c:pt>
                <c:pt idx="9">
                  <c:v>Mięso</c:v>
                </c:pt>
                <c:pt idx="10">
                  <c:v>Odzież</c:v>
                </c:pt>
              </c:strCache>
            </c:strRef>
          </c:cat>
          <c:val>
            <c:numRef>
              <c:f>WPŁYWY!$C$1:$C$11</c:f>
              <c:numCache>
                <c:formatCode>0.00</c:formatCode>
                <c:ptCount val="11"/>
                <c:pt idx="0">
                  <c:v>-0.18</c:v>
                </c:pt>
                <c:pt idx="1">
                  <c:v>-0.14000000000000001</c:v>
                </c:pt>
                <c:pt idx="2">
                  <c:v>-0.1</c:v>
                </c:pt>
                <c:pt idx="3">
                  <c:v>-0.08</c:v>
                </c:pt>
                <c:pt idx="4">
                  <c:v>-0.03</c:v>
                </c:pt>
                <c:pt idx="5">
                  <c:v>0.03</c:v>
                </c:pt>
                <c:pt idx="6">
                  <c:v>0.03</c:v>
                </c:pt>
                <c:pt idx="7">
                  <c:v>0.06</c:v>
                </c:pt>
                <c:pt idx="8">
                  <c:v>0.06</c:v>
                </c:pt>
                <c:pt idx="9">
                  <c:v>0.06</c:v>
                </c:pt>
                <c:pt idx="10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5771392"/>
        <c:axId val="105772928"/>
      </c:barChart>
      <c:catAx>
        <c:axId val="105771392"/>
        <c:scaling>
          <c:orientation val="minMax"/>
        </c:scaling>
        <c:delete val="0"/>
        <c:axPos val="l"/>
        <c:numFmt formatCode="@" sourceLinked="0"/>
        <c:majorTickMark val="none"/>
        <c:minorTickMark val="none"/>
        <c:tickLblPos val="low"/>
        <c:spPr>
          <a:noFill/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5772928"/>
        <c:crossesAt val="0"/>
        <c:auto val="1"/>
        <c:lblAlgn val="ctr"/>
        <c:lblOffset val="300"/>
        <c:tickMarkSkip val="1"/>
        <c:noMultiLvlLbl val="0"/>
      </c:catAx>
      <c:valAx>
        <c:axId val="105772928"/>
        <c:scaling>
          <c:orientation val="minMax"/>
          <c:max val="0.1"/>
          <c:min val="-0.2"/>
        </c:scaling>
        <c:delete val="0"/>
        <c:axPos val="b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0" sourceLinked="1"/>
        <c:majorTickMark val="out"/>
        <c:min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05771392"/>
        <c:crosses val="autoZero"/>
        <c:crossBetween val="between"/>
        <c:majorUnit val="5.000000000000001E-2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863205691702072"/>
          <c:y val="4.5267504380125223E-2"/>
          <c:w val="0.5162607649127503"/>
          <c:h val="0.8785142984150642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334A92"/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'SYSTEM WAG'!$B$2:$B$13</c:f>
              <c:strCache>
                <c:ptCount val="12"/>
                <c:pt idx="0">
                  <c:v>Inne towary i usługi</c:v>
                </c:pt>
                <c:pt idx="1">
                  <c:v>Restauracje i hotele</c:v>
                </c:pt>
                <c:pt idx="2">
                  <c:v>Edukacja</c:v>
                </c:pt>
                <c:pt idx="3">
                  <c:v>Rekreacja i kultura</c:v>
                </c:pt>
                <c:pt idx="4">
                  <c:v>Łączność</c:v>
                </c:pt>
                <c:pt idx="5">
                  <c:v>Transport</c:v>
                </c:pt>
                <c:pt idx="6">
                  <c:v>Zdrowie</c:v>
                </c:pt>
                <c:pt idx="7">
                  <c:v>Wyposażenie mieszkania 
i prowadzenie gospodarstwa domowego</c:v>
                </c:pt>
                <c:pt idx="8">
                  <c:v>Użytkowanie mieszkania 
lub domu i nośniki energii</c:v>
                </c:pt>
                <c:pt idx="9">
                  <c:v>Odzież i obuwie</c:v>
                </c:pt>
                <c:pt idx="10">
                  <c:v>Napoje alkoholowe 
i wyroby tytoniowe</c:v>
                </c:pt>
                <c:pt idx="11">
                  <c:v>Żywność i napoje bezalkoholowe</c:v>
                </c:pt>
              </c:strCache>
            </c:strRef>
          </c:cat>
          <c:val>
            <c:numRef>
              <c:f>'SYSTEM WAG'!$H$2:$H$13</c:f>
              <c:numCache>
                <c:formatCode>0.00</c:formatCode>
                <c:ptCount val="12"/>
                <c:pt idx="0">
                  <c:v>5.58</c:v>
                </c:pt>
                <c:pt idx="1">
                  <c:v>6.2</c:v>
                </c:pt>
                <c:pt idx="2">
                  <c:v>1.07</c:v>
                </c:pt>
                <c:pt idx="3">
                  <c:v>6.44</c:v>
                </c:pt>
                <c:pt idx="4">
                  <c:v>4.18</c:v>
                </c:pt>
                <c:pt idx="5">
                  <c:v>10.34</c:v>
                </c:pt>
                <c:pt idx="6">
                  <c:v>5.1199999999999983</c:v>
                </c:pt>
                <c:pt idx="7">
                  <c:v>5.7</c:v>
                </c:pt>
                <c:pt idx="8">
                  <c:v>19.170000000000005</c:v>
                </c:pt>
                <c:pt idx="9">
                  <c:v>4.9400000000000004</c:v>
                </c:pt>
                <c:pt idx="10">
                  <c:v>6.37</c:v>
                </c:pt>
                <c:pt idx="11">
                  <c:v>24.89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452352"/>
        <c:axId val="112455040"/>
      </c:barChart>
      <c:catAx>
        <c:axId val="1124523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>
            <a:solidFill>
              <a:schemeClr val="bg1">
                <a:lumMod val="50000"/>
              </a:schemeClr>
            </a:solidFill>
          </a:ln>
        </c:spPr>
        <c:txPr>
          <a:bodyPr rot="0" vert="horz"/>
          <a:lstStyle/>
          <a:p>
            <a:pPr algn="r">
              <a:defRPr sz="800"/>
            </a:pPr>
            <a:endParaRPr lang="en-US"/>
          </a:p>
        </c:txPr>
        <c:crossAx val="112455040"/>
        <c:crosses val="autoZero"/>
        <c:auto val="0"/>
        <c:lblAlgn val="ctr"/>
        <c:lblOffset val="100"/>
        <c:noMultiLvlLbl val="0"/>
      </c:catAx>
      <c:valAx>
        <c:axId val="112455040"/>
        <c:scaling>
          <c:orientation val="minMax"/>
        </c:scaling>
        <c:delete val="0"/>
        <c:axPos val="b"/>
        <c:majorGridlines>
          <c:spPr>
            <a:ln w="3175">
              <a:solidFill>
                <a:srgbClr val="B2B2B2"/>
              </a:solidFill>
              <a:prstDash val="sysDot"/>
            </a:ln>
          </c:spPr>
        </c:majorGridlines>
        <c:title>
          <c:tx>
            <c:rich>
              <a:bodyPr anchor="b" anchorCtr="1"/>
              <a:lstStyle/>
              <a:p>
                <a:pPr algn="r">
                  <a:defRPr/>
                </a:pPr>
                <a:r>
                  <a:rPr lang="pl-PL" b="0"/>
                  <a:t>%</a:t>
                </a:r>
              </a:p>
            </c:rich>
          </c:tx>
          <c:layout>
            <c:manualLayout>
              <c:xMode val="edge"/>
              <c:yMode val="edge"/>
              <c:x val="0.96046209837153251"/>
              <c:y val="0.93581586831545505"/>
            </c:manualLayout>
          </c:layout>
          <c:overlay val="0"/>
          <c:spPr>
            <a:noFill/>
            <a:ln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noFill/>
          <a:ln w="6350">
            <a:noFill/>
            <a:prstDash val="sysDot"/>
          </a:ln>
        </c:spPr>
        <c:crossAx val="112452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>
          <a:latin typeface="Fira Sans" pitchFamily="34" charset="0"/>
          <a:ea typeface="Fira Sans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Lbls>
            <c:dLbl>
              <c:idx val="0"/>
              <c:layout>
                <c:manualLayout>
                  <c:x val="-9.3315604743701291E-3"/>
                  <c:y val="-1.79120857888126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468604754157208E-2"/>
                  <c:y val="4.0212657031465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886190088169113E-2"/>
                  <c:y val="2.0937731048057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8495937741364652E-3"/>
                  <c:y val="-9.72466428364409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7181740856251772E-2"/>
                  <c:y val="-2.9599072553376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7604453834405965E-3"/>
                  <c:y val="-7.384319938547217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47716857724923E-2"/>
                  <c:y val="4.10739180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1811489264836222E-2"/>
                  <c:y val="4.1545223501270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5.5603517024352331E-2"/>
                  <c:y val="-2.98141226889918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5270582150507206E-2"/>
                  <c:y val="-4.4211051898794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5.1731372759891675E-2"/>
                  <c:y val="4.5485073905902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4.4538584124439055E-2"/>
                  <c:y val="4.3977973142691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3.5493402701699026E-2"/>
                  <c:y val="5.11235379829086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4.0157504135215447E-2"/>
                  <c:y val="-4.29720101781170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512639853230348E-3"/>
                  <c:y val="2.50458495367036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-1.0106078233919524E-2"/>
                  <c:y val="-1.09291855859337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3.5976911103846362E-2"/>
                  <c:y val="4.1756013250756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6.7581122962760186E-3"/>
                  <c:y val="-8.643802531156409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9165316280444451E-2"/>
                  <c:y val="4.094532179260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8587335297959095E-2"/>
                  <c:y val="4.0465837004327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3.8013274159369878E-2"/>
                  <c:y val="4.06904108164203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4.0174145311606846E-2"/>
                  <c:y val="-3.376597668849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7521798318589681E-2"/>
                  <c:y val="4.51032863849765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44975042328123E-2"/>
                  <c:y val="4.4995696400626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4.2624873747847007E-2"/>
                  <c:y val="3.913888888888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0509009646396567E-2"/>
                  <c:y val="-4.5661189358372462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0,4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2.3522786084724048E-2"/>
                  <c:y val="2.7183200707218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'M-1'!$B$26:$B$46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'M-1'!$C$26:$C$46</c:f>
              <c:numCache>
                <c:formatCode>0.0</c:formatCode>
                <c:ptCount val="21"/>
                <c:pt idx="0">
                  <c:v>0.29999999999999716</c:v>
                </c:pt>
                <c:pt idx="1">
                  <c:v>-0.2</c:v>
                </c:pt>
                <c:pt idx="2">
                  <c:v>-0.1</c:v>
                </c:pt>
                <c:pt idx="3">
                  <c:v>0.5</c:v>
                </c:pt>
                <c:pt idx="4">
                  <c:v>0.2</c:v>
                </c:pt>
                <c:pt idx="5">
                  <c:v>0.1</c:v>
                </c:pt>
                <c:pt idx="6">
                  <c:v>-0.2</c:v>
                </c:pt>
                <c:pt idx="7">
                  <c:v>0</c:v>
                </c:pt>
                <c:pt idx="8">
                  <c:v>0.2</c:v>
                </c:pt>
                <c:pt idx="9">
                  <c:v>0.4</c:v>
                </c:pt>
                <c:pt idx="10">
                  <c:v>0</c:v>
                </c:pt>
                <c:pt idx="11">
                  <c:v>0</c:v>
                </c:pt>
                <c:pt idx="12">
                  <c:v>-0.2</c:v>
                </c:pt>
                <c:pt idx="13">
                  <c:v>0.4</c:v>
                </c:pt>
                <c:pt idx="14">
                  <c:v>0.3</c:v>
                </c:pt>
                <c:pt idx="15">
                  <c:v>1.1000000000000001</c:v>
                </c:pt>
                <c:pt idx="16">
                  <c:v>0.2</c:v>
                </c:pt>
                <c:pt idx="17">
                  <c:v>0.3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570752"/>
        <c:axId val="112572288"/>
      </c:lineChart>
      <c:dateAx>
        <c:axId val="112570752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572288"/>
        <c:crossesAt val="0"/>
        <c:auto val="0"/>
        <c:lblOffset val="100"/>
        <c:baseTimeUnit val="days"/>
      </c:dateAx>
      <c:valAx>
        <c:axId val="112572288"/>
        <c:scaling>
          <c:orientation val="minMax"/>
          <c:max val="1.2000000000000011"/>
          <c:min val="-0.60000000000000064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570752"/>
        <c:crossesAt val="1"/>
        <c:crossBetween val="between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187331061229512E-2"/>
          <c:y val="4.8511576626240394E-2"/>
          <c:w val="0.85896472395921109"/>
          <c:h val="0.81880214256569661"/>
        </c:manualLayout>
      </c:layout>
      <c:lineChart>
        <c:grouping val="standard"/>
        <c:varyColors val="0"/>
        <c:ser>
          <c:idx val="0"/>
          <c:order val="0"/>
          <c:spPr>
            <a:ln w="22225">
              <a:solidFill>
                <a:srgbClr val="001D77"/>
              </a:solidFill>
            </a:ln>
          </c:spPr>
          <c:marker>
            <c:symbol val="diamond"/>
            <c:size val="6"/>
            <c:spPr>
              <a:solidFill>
                <a:srgbClr val="001D77"/>
              </a:solidFill>
              <a:ln>
                <a:noFill/>
              </a:ln>
            </c:spPr>
          </c:marker>
          <c:dPt>
            <c:idx val="27"/>
            <c:marker>
              <c:symbol val="diamond"/>
              <c:size val="8"/>
              <c:spPr>
                <a:solidFill>
                  <a:srgbClr val="008542"/>
                </a:solidFill>
                <a:ln>
                  <a:noFill/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6712576468564982E-2"/>
                  <c:y val="-5.0308122147017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48856233161891E-2"/>
                  <c:y val="3.89148642608678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70225814352192E-2"/>
                  <c:y val="3.89409044093355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186333578251285E-2"/>
                  <c:y val="-4.04496783847334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2107876545614117E-2"/>
                  <c:y val="-3.9890996379663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3.7613921579997982E-2"/>
                  <c:y val="-4.0131046828641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3.4265991626910811E-2"/>
                  <c:y val="-4.14095702817566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9124135916658552E-2"/>
                  <c:y val="-4.1339131119156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0799351293540451E-2"/>
                  <c:y val="-4.29146042134211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5253178118390958E-2"/>
                  <c:y val="-4.61673362891771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3.4620811718631676E-2"/>
                  <c:y val="3.82548056520349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3.4580698055750758E-2"/>
                  <c:y val="5.32797067901234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2.5632525104090129E-2"/>
                  <c:y val="3.8454303426028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1.2979867744305566E-2"/>
                  <c:y val="1.80862434170893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8097967180994375E-3"/>
                  <c:y val="9.773217512971492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889246059500914E-2"/>
                      <c:h val="5.7450489075958532E-2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-1.3013176585843743E-2"/>
                  <c:y val="2.1497891525291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-1.5974528532941464E-2"/>
                  <c:y val="2.31469713752696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-4.1914670585353905E-2"/>
                  <c:y val="-4.2336617501311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-3.1723732549595887E-2"/>
                  <c:y val="-4.94067121397617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3.3519862845946609E-2"/>
                  <c:y val="-4.9848617345848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-2.5646131022097288E-2"/>
                  <c:y val="-4.44528530346602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1.7856640899508083E-2"/>
                  <c:y val="-3.02845466929014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5.5046654173498903E-2"/>
                  <c:y val="3.40657635840775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-4.7575491427736226E-2"/>
                  <c:y val="3.65139091655663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5.7554992812669424E-2"/>
                  <c:y val="8.952139634620643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2.8226731861014813E-2"/>
                  <c:y val="4.9211383118944255E-2"/>
                </c:manualLayout>
              </c:layout>
              <c:tx>
                <c:rich>
                  <a:bodyPr anchor="t" anchorCtr="0"/>
                  <a:lstStyle/>
                  <a:p>
                    <a:pPr>
                      <a:defRPr sz="1000">
                        <a:latin typeface="Fira Sans" pitchFamily="34" charset="0"/>
                        <a:ea typeface="Fira Sans" pitchFamily="34" charset="0"/>
                      </a:defRPr>
                    </a:pPr>
                    <a:r>
                      <a:rPr lang="en-US" sz="800"/>
                      <a:t>1,2</a:t>
                    </a:r>
                  </a:p>
                </c:rich>
              </c:tx>
              <c:spPr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-3.1435292231207015E-2"/>
                  <c:y val="2.75599392243573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7"/>
              <c:layout>
                <c:manualLayout>
                  <c:x val="-2.9224093677136003E-2"/>
                  <c:y val="-3.42589929418557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anchor="t" anchorCtr="0"/>
              <a:lstStyle/>
              <a:p>
                <a:pPr>
                  <a:defRPr sz="800">
                    <a:latin typeface="Fira Sans" pitchFamily="34" charset="0"/>
                    <a:ea typeface="Fira Sans" pitchFamily="34" charset="0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'M-12 (+FE)'!$B$26:$B$46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'M-12 (+FE)'!$C$26:$C$46</c:f>
              <c:numCache>
                <c:formatCode>0.0</c:formatCode>
                <c:ptCount val="21"/>
                <c:pt idx="0">
                  <c:v>1.9000000000000057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947968"/>
        <c:axId val="112949504"/>
      </c:lineChart>
      <c:dateAx>
        <c:axId val="112947968"/>
        <c:scaling>
          <c:orientation val="minMax"/>
        </c:scaling>
        <c:delete val="0"/>
        <c:axPos val="b"/>
        <c:numFmt formatCode="[$-415]mmmmm;@" sourceLinked="0"/>
        <c:majorTickMark val="out"/>
        <c:minorTickMark val="none"/>
        <c:tickLblPos val="low"/>
        <c:spPr>
          <a:ln w="6350">
            <a:solidFill>
              <a:schemeClr val="bg1">
                <a:lumMod val="50000"/>
              </a:schemeClr>
            </a:solidFill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949504"/>
        <c:crossesAt val="0"/>
        <c:auto val="0"/>
        <c:lblOffset val="100"/>
        <c:baseTimeUnit val="days"/>
      </c:dateAx>
      <c:valAx>
        <c:axId val="112949504"/>
        <c:scaling>
          <c:orientation val="minMax"/>
          <c:max val="4"/>
          <c:min val="0"/>
        </c:scaling>
        <c:delete val="0"/>
        <c:axPos val="l"/>
        <c:majorGridlines>
          <c:spPr>
            <a:ln w="3175">
              <a:solidFill>
                <a:schemeClr val="bg1">
                  <a:lumMod val="50000"/>
                </a:schemeClr>
              </a:solidFill>
              <a:prstDash val="sysDot"/>
            </a:ln>
          </c:spPr>
        </c:majorGridlines>
        <c:numFmt formatCode="0.0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800">
                <a:latin typeface="Fira Sans" pitchFamily="34" charset="0"/>
                <a:ea typeface="Fira Sans" pitchFamily="34" charset="0"/>
              </a:defRPr>
            </a:pPr>
            <a:endParaRPr lang="en-US"/>
          </a:p>
        </c:txPr>
        <c:crossAx val="112947968"/>
        <c:crossesAt val="1"/>
        <c:crossBetween val="between"/>
        <c:majorUnit val="0.5"/>
      </c:valAx>
      <c:spPr>
        <a:noFill/>
        <a:ln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03308106031142E-2"/>
          <c:y val="5.2791985907422512E-2"/>
          <c:w val="0.86402212918953414"/>
          <c:h val="0.80215749189155816"/>
        </c:manualLayout>
      </c:layout>
      <c:lineChart>
        <c:grouping val="standard"/>
        <c:varyColors val="0"/>
        <c:ser>
          <c:idx val="0"/>
          <c:order val="0"/>
          <c:tx>
            <c:strRef>
              <c:f>'CPI_HICP m-12'!$B$2:$C$2</c:f>
              <c:strCache>
                <c:ptCount val="1"/>
                <c:pt idx="0">
                  <c:v>CPI</c:v>
                </c:pt>
              </c:strCache>
            </c:strRef>
          </c:tx>
          <c:spPr>
            <a:ln w="19050">
              <a:solidFill>
                <a:srgbClr val="001D77"/>
              </a:solidFill>
            </a:ln>
          </c:spPr>
          <c:marker>
            <c:symbol val="none"/>
          </c:marker>
          <c:cat>
            <c:strRef>
              <c:f>'CPI_HICP m-12'!$B$27:$B$47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'CPI_HICP m-12'!$C$27:$C$47</c:f>
              <c:numCache>
                <c:formatCode>0.0</c:formatCode>
                <c:ptCount val="21"/>
                <c:pt idx="0">
                  <c:v>1.9</c:v>
                </c:pt>
                <c:pt idx="1">
                  <c:v>1.4</c:v>
                </c:pt>
                <c:pt idx="2">
                  <c:v>1.3</c:v>
                </c:pt>
                <c:pt idx="3">
                  <c:v>1.6</c:v>
                </c:pt>
                <c:pt idx="4">
                  <c:v>1.7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1.9</c:v>
                </c:pt>
                <c:pt idx="9">
                  <c:v>1.8</c:v>
                </c:pt>
                <c:pt idx="10">
                  <c:v>1.3</c:v>
                </c:pt>
                <c:pt idx="11">
                  <c:v>1.1000000000000001</c:v>
                </c:pt>
                <c:pt idx="12">
                  <c:v>0.7</c:v>
                </c:pt>
                <c:pt idx="13">
                  <c:v>1.2</c:v>
                </c:pt>
                <c:pt idx="14">
                  <c:v>1.7</c:v>
                </c:pt>
                <c:pt idx="15">
                  <c:v>2.2000000000000002</c:v>
                </c:pt>
                <c:pt idx="16">
                  <c:v>2.4</c:v>
                </c:pt>
                <c:pt idx="17">
                  <c:v>2.6</c:v>
                </c:pt>
                <c:pt idx="18">
                  <c:v>2.9</c:v>
                </c:pt>
                <c:pt idx="19">
                  <c:v>2.9</c:v>
                </c:pt>
                <c:pt idx="20">
                  <c:v>2.6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'CPI_HICP m-12'!$D$2:$E$2</c:f>
              <c:strCache>
                <c:ptCount val="1"/>
                <c:pt idx="0">
                  <c:v>HICP</c:v>
                </c:pt>
              </c:strCache>
            </c:strRef>
          </c:tx>
          <c:spPr>
            <a:ln w="19050">
              <a:solidFill>
                <a:srgbClr val="99A5C9"/>
              </a:solidFill>
            </a:ln>
          </c:spPr>
          <c:marker>
            <c:symbol val="none"/>
          </c:marker>
          <c:cat>
            <c:strRef>
              <c:f>'CPI_HICP m-12'!$B$27:$B$47</c:f>
              <c:strCache>
                <c:ptCount val="21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  <c:pt idx="9">
                  <c:v>X</c:v>
                </c:pt>
                <c:pt idx="10">
                  <c:v>XI</c:v>
                </c:pt>
                <c:pt idx="11">
                  <c:v>XII</c:v>
                </c:pt>
                <c:pt idx="12">
                  <c:v>I</c:v>
                </c:pt>
                <c:pt idx="13">
                  <c:v>II</c:v>
                </c:pt>
                <c:pt idx="14">
                  <c:v>III</c:v>
                </c:pt>
                <c:pt idx="15">
                  <c:v>IV</c:v>
                </c:pt>
                <c:pt idx="16">
                  <c:v>V</c:v>
                </c:pt>
                <c:pt idx="17">
                  <c:v>VI</c:v>
                </c:pt>
                <c:pt idx="18">
                  <c:v>VII</c:v>
                </c:pt>
                <c:pt idx="19">
                  <c:v>VIII</c:v>
                </c:pt>
                <c:pt idx="20">
                  <c:v>IX</c:v>
                </c:pt>
              </c:strCache>
            </c:strRef>
          </c:cat>
          <c:val>
            <c:numRef>
              <c:f>'CPI_HICP m-12'!$E$27:$E$46</c:f>
              <c:numCache>
                <c:formatCode>0.0</c:formatCode>
                <c:ptCount val="20"/>
                <c:pt idx="0">
                  <c:v>1.6</c:v>
                </c:pt>
                <c:pt idx="1">
                  <c:v>0.7</c:v>
                </c:pt>
                <c:pt idx="2">
                  <c:v>0.7</c:v>
                </c:pt>
                <c:pt idx="3">
                  <c:v>0.9</c:v>
                </c:pt>
                <c:pt idx="4">
                  <c:v>1.2</c:v>
                </c:pt>
                <c:pt idx="5">
                  <c:v>1.4</c:v>
                </c:pt>
                <c:pt idx="6">
                  <c:v>1.4</c:v>
                </c:pt>
                <c:pt idx="7">
                  <c:v>1.4</c:v>
                </c:pt>
                <c:pt idx="8">
                  <c:v>1.5</c:v>
                </c:pt>
                <c:pt idx="9">
                  <c:v>1.5</c:v>
                </c:pt>
                <c:pt idx="10">
                  <c:v>1.1000000000000001</c:v>
                </c:pt>
                <c:pt idx="11">
                  <c:v>0.9</c:v>
                </c:pt>
                <c:pt idx="12">
                  <c:v>0.6</c:v>
                </c:pt>
                <c:pt idx="13">
                  <c:v>1.3</c:v>
                </c:pt>
                <c:pt idx="14">
                  <c:v>1.7</c:v>
                </c:pt>
                <c:pt idx="15">
                  <c:v>2.1</c:v>
                </c:pt>
                <c:pt idx="16">
                  <c:v>2.2000000000000002</c:v>
                </c:pt>
                <c:pt idx="17">
                  <c:v>2.2999999999999998</c:v>
                </c:pt>
                <c:pt idx="18">
                  <c:v>2.5</c:v>
                </c:pt>
                <c:pt idx="19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799104"/>
        <c:axId val="112809088"/>
      </c:lineChart>
      <c:catAx>
        <c:axId val="112799104"/>
        <c:scaling>
          <c:orientation val="minMax"/>
        </c:scaling>
        <c:delete val="0"/>
        <c:axPos val="b"/>
        <c:numFmt formatCode="d/mm" sourceLinked="0"/>
        <c:majorTickMark val="out"/>
        <c:minorTickMark val="none"/>
        <c:tickLblPos val="low"/>
        <c:spPr>
          <a:ln w="3175">
            <a:solidFill>
              <a:schemeClr val="bg1">
                <a:lumMod val="50000"/>
              </a:schemeClr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280908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12809088"/>
        <c:scaling>
          <c:orientation val="minMax"/>
          <c:max val="3"/>
          <c:min val="0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ot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noFill/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Fira Sans" pitchFamily="34" charset="0"/>
                <a:ea typeface="Fira Sans" pitchFamily="34" charset="0"/>
                <a:cs typeface="Arial CE"/>
              </a:defRPr>
            </a:pPr>
            <a:endParaRPr lang="en-US"/>
          </a:p>
        </c:txPr>
        <c:crossAx val="112799104"/>
        <c:crosses val="autoZero"/>
        <c:crossBetween val="between"/>
        <c:majorUnit val="0.5"/>
        <c:minorUnit val="0.1"/>
      </c:valAx>
      <c:spPr>
        <a:noFill/>
        <a:ln w="3175">
          <a:noFill/>
          <a:prstDash val="solid"/>
        </a:ln>
      </c:spPr>
    </c:plotArea>
    <c:legend>
      <c:legendPos val="r"/>
      <c:layout>
        <c:manualLayout>
          <c:xMode val="edge"/>
          <c:yMode val="edge"/>
          <c:x val="0.81969150911275146"/>
          <c:y val="0.58929013616225279"/>
          <c:w val="0.11602738896666102"/>
          <c:h val="0.14737378640231696"/>
        </c:manualLayout>
      </c:layout>
      <c:overlay val="0"/>
      <c:spPr>
        <a:noFill/>
        <a:ln w="38100">
          <a:noFill/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Fira Sans" pitchFamily="34" charset="0"/>
              <a:ea typeface="Fira Sans" pitchFamily="34" charset="0"/>
              <a:cs typeface="Arial CE"/>
            </a:defRPr>
          </a:pPr>
          <a:endParaRPr lang="en-US"/>
        </a:p>
      </c:txPr>
    </c:legend>
    <c:plotVisOnly val="0"/>
    <c:dispBlanksAs val="gap"/>
    <c:showDLblsOverMax val="0"/>
  </c:chart>
  <c:spPr>
    <a:noFill/>
    <a:ln w="9525">
      <a:noFill/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MS Sans Serif"/>
          <a:ea typeface="MS Sans Serif"/>
          <a:cs typeface="MS Sans Serif"/>
        </a:defRPr>
      </a:pPr>
      <a:endParaRPr lang="en-U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0.56174</cdr:x>
      <cdr:y>0.86509</cdr:y>
    </cdr:from>
    <cdr:to>
      <cdr:x>0.56215</cdr:x>
      <cdr:y>0.93788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877543" y="2210513"/>
          <a:ext cx="2096" cy="185995"/>
        </a:xfrm>
        <a:prstGeom xmlns:a="http://schemas.openxmlformats.org/drawingml/2006/main" prst="line">
          <a:avLst/>
        </a:prstGeom>
        <a:ln xmlns:a="http://schemas.openxmlformats.org/drawingml/2006/main" w="6350">
          <a:solidFill>
            <a:schemeClr val="tx1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 lIns="18288" tIns="0" rIns="0" bIns="0" upright="1"/>
        <a:lstStyle xmlns:a="http://schemas.openxmlformats.org/drawingml/2006/main"/>
        <a:p xmlns:a="http://schemas.openxmlformats.org/drawingml/2006/main">
          <a:endParaRPr lang="pl-PL">
            <a:latin typeface="Fira Sans" panose="020B0503050000020004" pitchFamily="34" charset="0"/>
            <a:ea typeface="Fira Sans" panose="020B0503050000020004" pitchFamily="34" charset="0"/>
          </a:endParaRPr>
        </a:p>
      </cdr:txBody>
    </cdr:sp>
  </cdr:relSizeAnchor>
  <cdr:relSizeAnchor xmlns:cdr="http://schemas.openxmlformats.org/drawingml/2006/chartDrawing">
    <cdr:from>
      <cdr:x>0.06988</cdr:x>
      <cdr:y>0.93898</cdr:y>
    </cdr:from>
    <cdr:to>
      <cdr:x>0.64722</cdr:x>
      <cdr:y>0.99323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358042" y="2444751"/>
          <a:ext cx="2958124" cy="14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0.06721</cdr:x>
      <cdr:y>0.9311</cdr:y>
    </cdr:from>
    <cdr:to>
      <cdr:x>0.5622</cdr:x>
      <cdr:y>0.99268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44286" y="2379172"/>
          <a:ext cx="2535609" cy="1573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0.56337</cdr:x>
      <cdr:y>0.9311</cdr:y>
    </cdr:from>
    <cdr:to>
      <cdr:x>0.92857</cdr:x>
      <cdr:y>0.9718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2885888" y="2379174"/>
          <a:ext cx="1870754" cy="104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0.09502</cdr:x>
      <cdr:y>0.93504</cdr:y>
    </cdr:from>
    <cdr:to>
      <cdr:x>0.44296</cdr:x>
      <cdr:y>1</cdr:y>
    </cdr:to>
    <cdr:sp macro="" textlink="">
      <cdr:nvSpPr>
        <cdr:cNvPr id="12" name="pole tekstowe 1"/>
        <cdr:cNvSpPr txBox="1"/>
      </cdr:nvSpPr>
      <cdr:spPr>
        <a:xfrm xmlns:a="http://schemas.openxmlformats.org/drawingml/2006/main">
          <a:off x="485657" y="2412651"/>
          <a:ext cx="1778364" cy="1676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0.06639</cdr:x>
      <cdr:y>0.93137</cdr:y>
    </cdr:from>
    <cdr:to>
      <cdr:x>0.56096</cdr:x>
      <cdr:y>0.99633</cdr:y>
    </cdr:to>
    <cdr:sp macro="" textlink="">
      <cdr:nvSpPr>
        <cdr:cNvPr id="13" name="pole tekstowe 1"/>
        <cdr:cNvSpPr txBox="1"/>
      </cdr:nvSpPr>
      <cdr:spPr>
        <a:xfrm xmlns:a="http://schemas.openxmlformats.org/drawingml/2006/main">
          <a:off x="339532" y="2445653"/>
          <a:ext cx="2529416" cy="170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0.06895</cdr:x>
      <cdr:y>0.35526</cdr:y>
    </cdr:from>
    <cdr:to>
      <cdr:x>0.92902</cdr:x>
      <cdr:y>0.35528</cdr:y>
    </cdr:to>
    <cdr:sp macro="" textlink="">
      <cdr:nvSpPr>
        <cdr:cNvPr id="11" name="Łącznik prosty 10"/>
        <cdr:cNvSpPr/>
      </cdr:nvSpPr>
      <cdr:spPr bwMode="auto">
        <a:xfrm xmlns:a="http://schemas.openxmlformats.org/drawingml/2006/main" flipV="1">
          <a:off x="352387" y="916671"/>
          <a:ext cx="4395884" cy="5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0.06933</cdr:x>
      <cdr:y>0.55928</cdr:y>
    </cdr:from>
    <cdr:to>
      <cdr:x>0.93036</cdr:x>
      <cdr:y>0.55956</cdr:y>
    </cdr:to>
    <cdr:sp macro="" textlink="">
      <cdr:nvSpPr>
        <cdr:cNvPr id="14" name="Łącznik prosty 13"/>
        <cdr:cNvSpPr/>
      </cdr:nvSpPr>
      <cdr:spPr bwMode="auto">
        <a:xfrm xmlns:a="http://schemas.openxmlformats.org/drawingml/2006/main">
          <a:off x="355158" y="1466701"/>
          <a:ext cx="4410885" cy="734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0.06938</cdr:x>
      <cdr:y>0.14903</cdr:y>
    </cdr:from>
    <cdr:to>
      <cdr:x>0.93041</cdr:x>
      <cdr:y>0.15027</cdr:y>
    </cdr:to>
    <cdr:sp macro="" textlink="">
      <cdr:nvSpPr>
        <cdr:cNvPr id="15" name="Łącznik prosty 14"/>
        <cdr:cNvSpPr/>
      </cdr:nvSpPr>
      <cdr:spPr bwMode="auto">
        <a:xfrm xmlns:a="http://schemas.openxmlformats.org/drawingml/2006/main" flipV="1">
          <a:off x="353497" y="392480"/>
          <a:ext cx="4387027" cy="3266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ysClr val="windowText" lastClr="000000"/>
          </a:solidFill>
          <a:prstDash val="sysDot"/>
          <a:headEnd type="none" w="med" len="med"/>
          <a:tailEnd type="none" w="med" len="med"/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0.4748</cdr:x>
      <cdr:y>0.17529</cdr:y>
    </cdr:from>
    <cdr:to>
      <cdr:x>0.74336</cdr:x>
      <cdr:y>0.2716</cdr:y>
    </cdr:to>
    <cdr:sp macro="" textlink="">
      <cdr:nvSpPr>
        <cdr:cNvPr id="16" name="Tekst 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19147" y="461637"/>
          <a:ext cx="1368338" cy="25363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wrap="square" lIns="27432" tIns="22860" rIns="27432" bIns="22860" anchor="ctr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pl-PL" sz="800" b="1" i="0" u="none" strike="noStrike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 CE"/>
            </a:rPr>
            <a:t>Cel inflacyjny 2,5</a:t>
          </a:r>
        </a:p>
      </cdr:txBody>
    </cdr:sp>
  </cdr:relSizeAnchor>
  <cdr:relSizeAnchor xmlns:cdr="http://schemas.openxmlformats.org/drawingml/2006/chartDrawing">
    <cdr:from>
      <cdr:x>0.59611</cdr:x>
      <cdr:y>0.25137</cdr:y>
    </cdr:from>
    <cdr:to>
      <cdr:x>0.65396</cdr:x>
      <cdr:y>0.35199</cdr:y>
    </cdr:to>
    <cdr:sp macro="" textlink="">
      <cdr:nvSpPr>
        <cdr:cNvPr id="17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3037232" y="661999"/>
          <a:ext cx="294751" cy="26498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0.21572</cdr:x>
      <cdr:y>0.18714</cdr:y>
    </cdr:from>
    <cdr:to>
      <cdr:x>0.42728</cdr:x>
      <cdr:y>0.33235</cdr:y>
    </cdr:to>
    <cdr:sp macro="" textlink="">
      <cdr:nvSpPr>
        <cdr:cNvPr id="18" name="pole tekstowe 1"/>
        <cdr:cNvSpPr txBox="1"/>
      </cdr:nvSpPr>
      <cdr:spPr>
        <a:xfrm xmlns:a="http://schemas.openxmlformats.org/drawingml/2006/main">
          <a:off x="1099113" y="492845"/>
          <a:ext cx="1077918" cy="382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Odchylenie</a:t>
          </a:r>
          <a:r>
            <a:rPr lang="pl-PL" sz="800" b="1" baseline="0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 </a:t>
          </a: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od celu</a:t>
          </a:r>
          <a:b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</a:br>
          <a:r>
            <a:rPr lang="pl-PL" sz="800" b="1">
              <a:solidFill>
                <a:sysClr val="windowText" lastClr="000000"/>
              </a:solidFill>
              <a:latin typeface="Fira Sans" pitchFamily="34" charset="0"/>
              <a:ea typeface="Fira Sans" pitchFamily="34" charset="0"/>
              <a:cs typeface="Arial" pitchFamily="34" charset="0"/>
            </a:rPr>
            <a:t>inflacyjnego</a:t>
          </a:r>
        </a:p>
      </cdr:txBody>
    </cdr:sp>
  </cdr:relSizeAnchor>
  <cdr:relSizeAnchor xmlns:cdr="http://schemas.openxmlformats.org/drawingml/2006/chartDrawing">
    <cdr:from>
      <cdr:x>0.41262</cdr:x>
      <cdr:y>0.15299</cdr:y>
    </cdr:from>
    <cdr:to>
      <cdr:x>0.4842</cdr:x>
      <cdr:y>0.26185</cdr:y>
    </cdr:to>
    <cdr:sp macro="" textlink="">
      <cdr:nvSpPr>
        <cdr:cNvPr id="19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2102337" y="402909"/>
          <a:ext cx="364706" cy="286689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0.41281</cdr:x>
      <cdr:y>0.2605</cdr:y>
    </cdr:from>
    <cdr:to>
      <cdr:x>0.57814</cdr:x>
      <cdr:y>0.55852</cdr:y>
    </cdr:to>
    <cdr:sp macro="" textlink="">
      <cdr:nvSpPr>
        <cdr:cNvPr id="20" name="Line 7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103305" y="686043"/>
          <a:ext cx="842371" cy="78485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3175">
          <a:solidFill>
            <a:sysClr val="windowText" lastClr="000000"/>
          </a:solidFill>
          <a:round/>
          <a:headEnd/>
          <a:tailEnd type="arrow" w="med" len="med"/>
        </a:ln>
        <a:effectLst xmlns:a="http://schemas.openxmlformats.org/drawingml/2006/main"/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0.55993</cdr:x>
      <cdr:y>0.93187</cdr:y>
    </cdr:from>
    <cdr:to>
      <cdr:x>0.92827</cdr:x>
      <cdr:y>0.99515</cdr:y>
    </cdr:to>
    <cdr:sp macro="" textlink="">
      <cdr:nvSpPr>
        <cdr:cNvPr id="21" name="pole tekstowe 1"/>
        <cdr:cNvSpPr txBox="1"/>
      </cdr:nvSpPr>
      <cdr:spPr>
        <a:xfrm xmlns:a="http://schemas.openxmlformats.org/drawingml/2006/main">
          <a:off x="2863656" y="2446966"/>
          <a:ext cx="1883834" cy="16616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0.55935</cdr:x>
      <cdr:y>0.86342</cdr:y>
    </cdr:from>
    <cdr:to>
      <cdr:x>0.55962</cdr:x>
      <cdr:y>0.93722</cdr:y>
    </cdr:to>
    <cdr:sp macro="" textlink="">
      <cdr:nvSpPr>
        <cdr:cNvPr id="22" name="Łącznik prosty 6"/>
        <cdr:cNvSpPr/>
      </cdr:nvSpPr>
      <cdr:spPr bwMode="auto">
        <a:xfrm xmlns:a="http://schemas.openxmlformats.org/drawingml/2006/main" flipV="1">
          <a:off x="2849687" y="2273692"/>
          <a:ext cx="1332" cy="1943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0.06337</cdr:x>
      <cdr:y>0.0639</cdr:y>
    </cdr:from>
    <cdr:to>
      <cdr:x>0.12174</cdr:x>
      <cdr:y>0.18421</cdr:y>
    </cdr:to>
    <cdr:sp macro="" textlink="">
      <cdr:nvSpPr>
        <cdr:cNvPr id="1351681" name="Tekst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24736" y="165552"/>
          <a:ext cx="299115" cy="31169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pl-PL" sz="800" b="0" i="0" u="none" strike="noStrike" baseline="0">
            <a:solidFill>
              <a:srgbClr val="000000"/>
            </a:solidFill>
            <a:latin typeface="Arial CE"/>
            <a:cs typeface="Arial CE"/>
          </a:endParaRPr>
        </a:p>
      </cdr:txBody>
    </cdr:sp>
  </cdr:relSizeAnchor>
  <cdr:relSizeAnchor xmlns:cdr="http://schemas.openxmlformats.org/drawingml/2006/chartDrawing">
    <cdr:from>
      <cdr:x>0.50952</cdr:x>
      <cdr:y>0.48622</cdr:y>
    </cdr:from>
    <cdr:to>
      <cdr:x>0.52447</cdr:x>
      <cdr:y>0.5397</cdr:y>
    </cdr:to>
    <cdr:sp macro="" textlink="">
      <cdr:nvSpPr>
        <cdr:cNvPr id="1351684" name="Text Box 3076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32480" y="1407902"/>
          <a:ext cx="65467" cy="15485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1">
          <a:noFill/>
          <a:miter lim="800000"/>
          <a:headEnd/>
          <a:tailEnd/>
        </a:ln>
        <a:effectLst xmlns:a="http://schemas.openxmlformats.org/drawingml/2006/main"/>
      </cdr:spPr>
      <cdr:txBody>
        <a:bodyPr xmlns:a="http://schemas.openxmlformats.org/drawingml/2006/main" wrap="none" lIns="18288" tIns="18288" rIns="18288" bIns="18288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pl-PL" sz="800" b="0" i="0" u="none" strike="noStrike" baseline="0">
              <a:solidFill>
                <a:srgbClr val="000000"/>
              </a:solidFill>
              <a:latin typeface="MS Sans Serif"/>
            </a:rPr>
            <a:t> </a:t>
          </a:r>
        </a:p>
      </cdr:txBody>
    </cdr:sp>
  </cdr:relSizeAnchor>
  <cdr:relSizeAnchor xmlns:cdr="http://schemas.openxmlformats.org/drawingml/2006/chartDrawing">
    <cdr:from>
      <cdr:x>0.0649</cdr:x>
      <cdr:y>0.92017</cdr:y>
    </cdr:from>
    <cdr:to>
      <cdr:x>0.55999</cdr:x>
      <cdr:y>0.9836</cdr:y>
    </cdr:to>
    <cdr:sp macro="" textlink="">
      <cdr:nvSpPr>
        <cdr:cNvPr id="5" name="pole tekstowe 1"/>
        <cdr:cNvSpPr txBox="1"/>
      </cdr:nvSpPr>
      <cdr:spPr>
        <a:xfrm xmlns:a="http://schemas.openxmlformats.org/drawingml/2006/main">
          <a:off x="333375" y="2333624"/>
          <a:ext cx="2543175" cy="160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2018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0.08308</cdr:x>
      <cdr:y>0.92137</cdr:y>
    </cdr:from>
    <cdr:to>
      <cdr:x>0.45083</cdr:x>
      <cdr:y>1</cdr:y>
    </cdr:to>
    <cdr:sp macro="" textlink="">
      <cdr:nvSpPr>
        <cdr:cNvPr id="6" name="pole tekstowe 1"/>
        <cdr:cNvSpPr txBox="1"/>
      </cdr:nvSpPr>
      <cdr:spPr>
        <a:xfrm xmlns:a="http://schemas.openxmlformats.org/drawingml/2006/main">
          <a:off x="424455" y="2372591"/>
          <a:ext cx="1878863" cy="2024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  <cdr:relSizeAnchor xmlns:cdr="http://schemas.openxmlformats.org/drawingml/2006/chartDrawing">
    <cdr:from>
      <cdr:x>0.55908</cdr:x>
      <cdr:y>0.85169</cdr:y>
    </cdr:from>
    <cdr:to>
      <cdr:x>0.55934</cdr:x>
      <cdr:y>0.92854</cdr:y>
    </cdr:to>
    <cdr:sp macro="" textlink="">
      <cdr:nvSpPr>
        <cdr:cNvPr id="7" name="Łącznik prosty 6"/>
        <cdr:cNvSpPr/>
      </cdr:nvSpPr>
      <cdr:spPr bwMode="auto">
        <a:xfrm xmlns:a="http://schemas.openxmlformats.org/drawingml/2006/main" flipV="1">
          <a:off x="2863891" y="2153554"/>
          <a:ext cx="1332" cy="19432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miter lim="800000"/>
          <a:headEnd type="none" w="med" len="med"/>
          <a:tailEnd type="none" w="med" len="med"/>
        </a:ln>
        <a:effectLst xmlns:a="http://schemas.openxmlformats.org/drawingml/2006/main"/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lIns="18288" tIns="0" rIns="0" bIns="0" upright="1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0.55813</cdr:x>
      <cdr:y>0.92017</cdr:y>
    </cdr:from>
    <cdr:to>
      <cdr:x>0.93084</cdr:x>
      <cdr:y>0.98991</cdr:y>
    </cdr:to>
    <cdr:sp macro="" textlink="">
      <cdr:nvSpPr>
        <cdr:cNvPr id="8" name="pole tekstowe 1"/>
        <cdr:cNvSpPr txBox="1"/>
      </cdr:nvSpPr>
      <cdr:spPr>
        <a:xfrm xmlns:a="http://schemas.openxmlformats.org/drawingml/2006/main">
          <a:off x="2867026" y="2333625"/>
          <a:ext cx="1914524" cy="1768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pl-PL" sz="800">
              <a:latin typeface="Fira Sans" pitchFamily="34" charset="0"/>
              <a:ea typeface="Fira Sans" pitchFamily="34" charset="0"/>
            </a:rPr>
            <a:t>2019</a:t>
          </a:r>
          <a:endParaRPr lang="pl-PL" sz="700">
            <a:latin typeface="Fira Sans" pitchFamily="34" charset="0"/>
            <a:ea typeface="Fira Sans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1" ma:contentTypeDescription="Utwórz nowy dokument." ma:contentTypeScope="" ma:versionID="b20bbc3dded4abcf92e167189ff234f7">
  <xsd:schema xmlns:xsd="http://www.w3.org/2001/XMLSchema" xmlns:xs="http://www.w3.org/2001/XMLSchema" xmlns:p="http://schemas.microsoft.com/office/2006/metadata/properties" xmlns:ns2="30d47203-49ec-4c8c-a442-62231931aabb" targetNamespace="http://schemas.microsoft.com/office/2006/metadata/properties" ma:root="true" ma:fieldsID="c1fa5ad568066013d8ffcd1c33bb2164" ns2:_="">
    <xsd:import namespace="30d47203-49ec-4c8c-a442-62231931aabb"/>
    <xsd:element name="properties">
      <xsd:complexType>
        <xsd:sequence>
          <xsd:element name="documentManagement">
            <xsd:complexType>
              <xsd:all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7203-49ec-4c8c-a442-62231931aabb" elementFormDefault="qualified">
    <xsd:import namespace="http://schemas.microsoft.com/office/2006/documentManagement/types"/>
    <xsd:import namespace="http://schemas.microsoft.com/office/infopath/2007/PartnerControls"/>
    <xsd:element name="Kolejno_x015b__x0107_" ma:index="8" nillable="true" ma:displayName="Kolejność" ma:decimals="0" ma:description="sortowanie plików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lejno_x015b__x0107_ xmlns="30d47203-49ec-4c8c-a442-62231931aa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DC58-EFEE-42A1-9591-F32E189D2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7203-49ec-4c8c-a442-62231931a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D39804-E15D-40D9-A3F2-808567566B9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0d47203-49ec-4c8c-a442-62231931aab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CFCB642-C1E9-4590-A884-732586E763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D68689-7E65-450C-A9C4-F23F7D3B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2018-07-12T07:13:00Z</cp:lastPrinted>
  <dcterms:created xsi:type="dcterms:W3CDTF">2018-07-11T11:36:00Z</dcterms:created>
  <dcterms:modified xsi:type="dcterms:W3CDTF">2019-10-14T17:03:00Z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