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42238C" w:rsidRDefault="00685123" w:rsidP="00685123">
      <w:pPr>
        <w:pStyle w:val="tytuinformacji"/>
      </w:pPr>
      <w:r w:rsidRPr="0042238C">
        <w:t>Wskaźniki cen towarów i usług konsumpcyjnych w </w:t>
      </w:r>
      <w:r w:rsidR="000E0955">
        <w:t>sierpniu</w:t>
      </w:r>
      <w:r w:rsidR="00EE696D" w:rsidRPr="0042238C">
        <w:t xml:space="preserve"> 2018 r.</w:t>
      </w:r>
    </w:p>
    <w:p w:rsidR="00AD4947" w:rsidRPr="0042238C" w:rsidRDefault="00AD4947" w:rsidP="00AD4947">
      <w:pPr>
        <w:pStyle w:val="tytuinformacji"/>
        <w:rPr>
          <w:sz w:val="32"/>
        </w:rPr>
      </w:pPr>
    </w:p>
    <w:p w:rsidR="0061655B" w:rsidRPr="0042238C" w:rsidRDefault="00BC3A47" w:rsidP="00CF08EF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55" w:rsidRPr="00D538E4" w:rsidRDefault="000E0955" w:rsidP="00274ACF">
                            <w:pPr>
                              <w:spacing w:after="0" w:line="240" w:lineRule="auto"/>
                              <w:ind w:left="567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274AC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0E0955" w:rsidRPr="00D538E4" w:rsidRDefault="00274ACF" w:rsidP="00D538E4">
                            <w:pPr>
                              <w:pStyle w:val="tekstnaniebieskimtle"/>
                            </w:pPr>
                            <w:r>
                              <w:t>bez zmian</w:t>
                            </w:r>
                            <w:r w:rsidR="000E0955">
                              <w:t xml:space="preserve"> </w:t>
                            </w:r>
                            <w:r w:rsidR="000E0955" w:rsidRPr="00D538E4">
                              <w:t>w po</w:t>
                            </w:r>
                            <w:r w:rsidR="000E0955">
                              <w:t xml:space="preserve">równaniu </w:t>
                            </w:r>
                            <w:r w:rsidR="000E0955">
                              <w:br/>
                              <w:t>z poprzednim miesiącem</w:t>
                            </w:r>
                          </w:p>
                          <w:p w:rsidR="000E0955" w:rsidRPr="00D538E4" w:rsidRDefault="000E0955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0E0955" w:rsidRPr="00D538E4" w:rsidRDefault="000E0955" w:rsidP="00274ACF">
                      <w:pPr>
                        <w:spacing w:after="0" w:line="240" w:lineRule="auto"/>
                        <w:ind w:left="567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274AC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0E0955" w:rsidRPr="00D538E4" w:rsidRDefault="00274ACF" w:rsidP="00D538E4">
                      <w:pPr>
                        <w:pStyle w:val="tekstnaniebieskimtle"/>
                      </w:pPr>
                      <w:r>
                        <w:t>bez zmian</w:t>
                      </w:r>
                      <w:r w:rsidR="000E0955">
                        <w:t xml:space="preserve"> </w:t>
                      </w:r>
                      <w:r w:rsidR="000E0955" w:rsidRPr="00D538E4">
                        <w:t>w po</w:t>
                      </w:r>
                      <w:r w:rsidR="000E0955">
                        <w:t xml:space="preserve">równaniu </w:t>
                      </w:r>
                      <w:r w:rsidR="000E0955">
                        <w:br/>
                        <w:t>z poprzednim miesiącem</w:t>
                      </w:r>
                    </w:p>
                    <w:p w:rsidR="000E0955" w:rsidRPr="00D538E4" w:rsidRDefault="000E0955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8E4" w:rsidRPr="0042238C">
        <w:t xml:space="preserve">Ceny towarów i usług konsumpcyjnych w </w:t>
      </w:r>
      <w:r w:rsidR="000E0955">
        <w:t>sierpniu</w:t>
      </w:r>
      <w:r w:rsidR="00D538E4" w:rsidRPr="0042238C">
        <w:t xml:space="preserve"> 201</w:t>
      </w:r>
      <w:r w:rsidR="009C5407" w:rsidRPr="0042238C">
        <w:t>8</w:t>
      </w:r>
      <w:r w:rsidR="000F2650" w:rsidRPr="0042238C">
        <w:t xml:space="preserve"> r. </w:t>
      </w:r>
      <w:r w:rsidR="000E0955" w:rsidRPr="000E0955">
        <w:t xml:space="preserve">utrzymały się przeciętnie na poziomie zbliżonym do </w:t>
      </w:r>
      <w:r w:rsidR="000E0955">
        <w:t>z</w:t>
      </w:r>
      <w:r w:rsidR="000E0955" w:rsidRPr="000E0955">
        <w:t xml:space="preserve">anotowanego przed miesiącem </w:t>
      </w:r>
      <w:r w:rsidR="00D538E4" w:rsidRPr="0042238C">
        <w:t>(</w:t>
      </w:r>
      <w:r w:rsidR="00EB73D7" w:rsidRPr="0042238C">
        <w:t xml:space="preserve">przy </w:t>
      </w:r>
      <w:r w:rsidR="002B367C" w:rsidRPr="0042238C">
        <w:t>wzroście</w:t>
      </w:r>
      <w:r w:rsidR="00EB73D7" w:rsidRPr="0042238C">
        <w:t xml:space="preserve"> cen </w:t>
      </w:r>
      <w:r w:rsidR="00613FD8">
        <w:br/>
      </w:r>
      <w:r w:rsidR="000800B4" w:rsidRPr="0042238C">
        <w:t>usług</w:t>
      </w:r>
      <w:r w:rsidR="00EB73D7" w:rsidRPr="0042238C">
        <w:t xml:space="preserve"> – o </w:t>
      </w:r>
      <w:r w:rsidR="00D538E4" w:rsidRPr="0042238C">
        <w:t>0,</w:t>
      </w:r>
      <w:r w:rsidR="002B367C" w:rsidRPr="0042238C">
        <w:t>5</w:t>
      </w:r>
      <w:r w:rsidR="00D538E4" w:rsidRPr="0042238C">
        <w:t>%</w:t>
      </w:r>
      <w:r w:rsidR="00274ACF">
        <w:t xml:space="preserve"> i spadku cen towarów – o 0,3%</w:t>
      </w:r>
      <w:r w:rsidR="00D538E4" w:rsidRPr="0042238C">
        <w:t>)</w:t>
      </w:r>
      <w:r w:rsidR="006D6B72" w:rsidRPr="0042238C">
        <w:t xml:space="preserve">. </w:t>
      </w:r>
      <w:r w:rsidR="00917CCF" w:rsidRPr="0042238C">
        <w:br/>
      </w:r>
      <w:r w:rsidR="006D6B72" w:rsidRPr="0042238C">
        <w:t>W porównaniu z </w:t>
      </w:r>
      <w:r w:rsidR="00D538E4" w:rsidRPr="0042238C">
        <w:t>a</w:t>
      </w:r>
      <w:r w:rsidR="000F2650" w:rsidRPr="0042238C">
        <w:t>nalo</w:t>
      </w:r>
      <w:r w:rsidR="000F2650" w:rsidRPr="0042238C">
        <w:softHyphen/>
        <w:t>gicznym miesiącem ub. roku</w:t>
      </w:r>
      <w:r w:rsidR="00D538E4" w:rsidRPr="0042238C">
        <w:t xml:space="preserve"> </w:t>
      </w:r>
      <w:r w:rsidR="00613FD8">
        <w:br/>
      </w:r>
      <w:r w:rsidR="006D6B72" w:rsidRPr="0042238C">
        <w:t xml:space="preserve">ceny towarów i usług konsumpcyjnych </w:t>
      </w:r>
      <w:r w:rsidR="00D538E4" w:rsidRPr="0042238C">
        <w:t>wzros</w:t>
      </w:r>
      <w:r w:rsidR="006D6B72" w:rsidRPr="0042238C">
        <w:t>ły</w:t>
      </w:r>
      <w:r w:rsidR="00D538E4" w:rsidRPr="0042238C">
        <w:t xml:space="preserve"> </w:t>
      </w:r>
      <w:r w:rsidR="00917CCF" w:rsidRPr="0042238C">
        <w:br/>
      </w:r>
      <w:r w:rsidR="006D6B72" w:rsidRPr="0042238C">
        <w:t>o</w:t>
      </w:r>
      <w:r w:rsidR="00D538E4" w:rsidRPr="0042238C">
        <w:t xml:space="preserve"> </w:t>
      </w:r>
      <w:r w:rsidR="000D7E94" w:rsidRPr="0042238C">
        <w:t>2,0</w:t>
      </w:r>
      <w:r w:rsidR="00D538E4" w:rsidRPr="0042238C">
        <w:t xml:space="preserve">% (w tym </w:t>
      </w:r>
      <w:r w:rsidR="00EB73D7" w:rsidRPr="0042238C">
        <w:t>towarów</w:t>
      </w:r>
      <w:r w:rsidR="006D6B72" w:rsidRPr="0042238C">
        <w:t xml:space="preserve"> </w:t>
      </w:r>
      <w:r w:rsidR="00D538E4" w:rsidRPr="0042238C">
        <w:t>–</w:t>
      </w:r>
      <w:r w:rsidR="00B94737" w:rsidRPr="0042238C">
        <w:t xml:space="preserve"> </w:t>
      </w:r>
      <w:r w:rsidR="00D538E4" w:rsidRPr="0042238C">
        <w:t>o </w:t>
      </w:r>
      <w:r w:rsidR="002B367C" w:rsidRPr="0042238C">
        <w:t>2,1</w:t>
      </w:r>
      <w:r w:rsidR="00D538E4" w:rsidRPr="0042238C">
        <w:t>% i </w:t>
      </w:r>
      <w:r w:rsidR="00EB73D7" w:rsidRPr="0042238C">
        <w:t xml:space="preserve">usług </w:t>
      </w:r>
      <w:r w:rsidR="00D538E4" w:rsidRPr="0042238C">
        <w:t>– o 1,</w:t>
      </w:r>
      <w:r w:rsidR="00274ACF">
        <w:t>8</w:t>
      </w:r>
      <w:r w:rsidR="00D538E4" w:rsidRPr="0042238C">
        <w:t>%).</w:t>
      </w:r>
    </w:p>
    <w:p w:rsidR="00486EE6" w:rsidRPr="0042238C" w:rsidRDefault="00486EE6" w:rsidP="00CF08EF">
      <w:pPr>
        <w:pStyle w:val="LID"/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3B5096" w:rsidRPr="0042238C" w:rsidTr="003B5096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3B5096" w:rsidRPr="0042238C" w:rsidRDefault="003B5096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3B5096" w:rsidRPr="0042238C" w:rsidRDefault="003B5096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74AC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1055" w:type="dxa"/>
          </w:tcPr>
          <w:p w:rsidR="003B5096" w:rsidRPr="0042238C" w:rsidRDefault="00EB73D7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74AC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45" w:type="dxa"/>
            <w:vMerge w:val="restart"/>
            <w:vAlign w:val="center"/>
          </w:tcPr>
          <w:p w:rsidR="003B5096" w:rsidRPr="0042238C" w:rsidRDefault="003B5096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3B5096" w:rsidRPr="0042238C" w:rsidRDefault="00EB73D7" w:rsidP="00EB73D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V</w:t>
            </w:r>
            <w:r w:rsidR="00274AC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</w:t>
            </w:r>
            <w:r w:rsidR="002B367C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2018=</w:t>
            </w:r>
            <w:r w:rsidR="003B5096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3B5096" w:rsidRPr="0042238C" w:rsidTr="003B5096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II</w:t>
            </w:r>
            <w:r w:rsidR="00274AC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2017=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XII 2017=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EB73D7" w:rsidP="00EB73D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74AC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2018=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3B5096" w:rsidRPr="0042238C" w:rsidRDefault="00EB73D7" w:rsidP="003B509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74AC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2017=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787F" w:rsidRPr="0042238C" w:rsidRDefault="0002787F" w:rsidP="0002787F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02787F" w:rsidRPr="0002787F" w:rsidRDefault="0002787F" w:rsidP="0002787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b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b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2787F" w:rsidRPr="0042238C" w:rsidRDefault="0002787F" w:rsidP="0002787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-0,17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92,9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96,0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-0,08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108,5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02787F" w:rsidRPr="0042238C" w:rsidTr="00C44B60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02787F" w:rsidRPr="0042238C" w:rsidRDefault="0002787F" w:rsidP="0002787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02787F" w:rsidRPr="00274AC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74ACF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bottom"/>
          </w:tcPr>
          <w:p w:rsidR="0002787F" w:rsidRPr="0002787F" w:rsidRDefault="0002787F" w:rsidP="0002787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787F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</w:tbl>
    <w:p w:rsidR="00AD4947" w:rsidRPr="0042238C" w:rsidRDefault="00AD4947" w:rsidP="00D538E4">
      <w:pPr>
        <w:pStyle w:val="tytuwykresu"/>
      </w:pPr>
      <w:r w:rsidRPr="0042238C">
        <w:t>Tablica 1.</w:t>
      </w:r>
      <w:r w:rsidRPr="0042238C">
        <w:rPr>
          <w:shd w:val="clear" w:color="auto" w:fill="FFFFFF"/>
        </w:rPr>
        <w:t xml:space="preserve"> </w:t>
      </w:r>
      <w:r w:rsidRPr="0042238C">
        <w:rPr>
          <w:bCs/>
          <w:shd w:val="clear" w:color="auto" w:fill="FFFFFF"/>
        </w:rPr>
        <w:t xml:space="preserve">Wskaźniki cen towarów i usług konsumpcyjnych w </w:t>
      </w:r>
      <w:r w:rsidR="00274ACF">
        <w:rPr>
          <w:bCs/>
          <w:shd w:val="clear" w:color="auto" w:fill="FFFFFF"/>
        </w:rPr>
        <w:t>sierpniu</w:t>
      </w:r>
      <w:r w:rsidRPr="0042238C">
        <w:t xml:space="preserve"> 2018 </w:t>
      </w:r>
      <w:r w:rsidRPr="0042238C">
        <w:rPr>
          <w:bCs/>
          <w:shd w:val="clear" w:color="auto" w:fill="FFFFFF"/>
        </w:rPr>
        <w:t>r.</w:t>
      </w:r>
    </w:p>
    <w:p w:rsidR="00C27D75" w:rsidRPr="0042238C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shd w:val="clear" w:color="auto" w:fill="FFFFFF"/>
          <w:lang w:eastAsia="pl-PL"/>
        </w:rPr>
      </w:pPr>
      <w:r w:rsidRPr="0042238C">
        <w:rPr>
          <w:shd w:val="clear" w:color="auto" w:fill="FFFFFF"/>
        </w:rPr>
        <w:t xml:space="preserve"> </w:t>
      </w:r>
      <w:r w:rsidR="00C27D75" w:rsidRPr="0042238C">
        <w:rPr>
          <w:shd w:val="clear" w:color="auto" w:fill="FFFFFF"/>
        </w:rPr>
        <w:br w:type="page"/>
      </w:r>
    </w:p>
    <w:p w:rsidR="00A07F00" w:rsidRPr="0042238C" w:rsidRDefault="00A07F00" w:rsidP="00C27D75">
      <w:pPr>
        <w:pStyle w:val="Nagwek1"/>
        <w:spacing w:before="120" w:line="240" w:lineRule="exact"/>
      </w:pPr>
      <w:bookmarkStart w:id="0" w:name="_GoBack"/>
      <w:r w:rsidRPr="0042238C">
        <w:rPr>
          <w:shd w:val="clear" w:color="auto" w:fill="FFFFFF"/>
        </w:rPr>
        <w:lastRenderedPageBreak/>
        <w:t>Wpływy zmian cen na wskaźnik</w:t>
      </w:r>
      <w:r w:rsidR="00B97152" w:rsidRPr="0042238C">
        <w:rPr>
          <w:shd w:val="clear" w:color="auto" w:fill="FFFFFF"/>
        </w:rPr>
        <w:t xml:space="preserve"> cen</w:t>
      </w:r>
      <w:r w:rsidRPr="0042238C">
        <w:rPr>
          <w:shd w:val="clear" w:color="auto" w:fill="FFFFFF"/>
        </w:rPr>
        <w:t xml:space="preserve"> towarów i usług konsumpcyjnych ogółem</w:t>
      </w:r>
    </w:p>
    <w:p w:rsidR="00A07F00" w:rsidRPr="00D6636F" w:rsidRDefault="00A07F00" w:rsidP="00C27D75">
      <w:pPr>
        <w:rPr>
          <w:b/>
        </w:rPr>
      </w:pPr>
      <w:r w:rsidRPr="0042238C">
        <w:t xml:space="preserve">W </w:t>
      </w:r>
      <w:r w:rsidR="0002787F">
        <w:t>sierpniu</w:t>
      </w:r>
      <w:r w:rsidRPr="0042238C">
        <w:t xml:space="preserve"> br. w porównaniu z poprzednim miesiącem największy wpływ na wskaźnik cen towarów i usług konsumpcyjnych ogółem miały </w:t>
      </w:r>
      <w:r w:rsidR="0002787F">
        <w:t>wyższe</w:t>
      </w:r>
      <w:r w:rsidRPr="0042238C">
        <w:t xml:space="preserve"> ceny </w:t>
      </w:r>
      <w:r w:rsidR="00D6636F">
        <w:t>w zakresie mieszkania (o 0,3%) i </w:t>
      </w:r>
      <w:r w:rsidR="0002787F">
        <w:t>transportu (o 0,4%)</w:t>
      </w:r>
      <w:r w:rsidR="00EE0FFF" w:rsidRPr="0042238C">
        <w:t xml:space="preserve">, które </w:t>
      </w:r>
      <w:r w:rsidR="00D6636F">
        <w:t>podwyższyły</w:t>
      </w:r>
      <w:r w:rsidR="00EE0FFF" w:rsidRPr="0042238C">
        <w:t xml:space="preserve"> ten wskaźnik odpowiednio o 0,</w:t>
      </w:r>
      <w:r w:rsidR="00825D31">
        <w:t>0</w:t>
      </w:r>
      <w:r w:rsidR="00EE0FFF" w:rsidRPr="0042238C">
        <w:t xml:space="preserve">8 p. proc. </w:t>
      </w:r>
      <w:r w:rsidR="00D6636F">
        <w:t>i </w:t>
      </w:r>
      <w:r w:rsidR="00EE0FFF" w:rsidRPr="0042238C">
        <w:t>0,</w:t>
      </w:r>
      <w:r w:rsidR="00825D31">
        <w:t>04</w:t>
      </w:r>
      <w:r w:rsidR="00AE4D8A">
        <w:t> p</w:t>
      </w:r>
      <w:r w:rsidR="00D6636F">
        <w:t>. </w:t>
      </w:r>
      <w:r w:rsidR="00EE0FFF" w:rsidRPr="0042238C">
        <w:t xml:space="preserve">proc. </w:t>
      </w:r>
      <w:r w:rsidR="00825D31">
        <w:t>Niższe</w:t>
      </w:r>
      <w:r w:rsidRPr="0042238C">
        <w:t xml:space="preserve"> ceny </w:t>
      </w:r>
      <w:r w:rsidR="00D6636F">
        <w:t xml:space="preserve">żywności i napojów bezalkoholowych (o 0,7%) oraz odzieży </w:t>
      </w:r>
      <w:r w:rsidR="00AE4D8A">
        <w:br/>
      </w:r>
      <w:r w:rsidR="00D6636F">
        <w:t xml:space="preserve">i obuwia </w:t>
      </w:r>
      <w:r w:rsidRPr="0042238C">
        <w:t xml:space="preserve">(o </w:t>
      </w:r>
      <w:r w:rsidR="00D6636F">
        <w:t>1,7</w:t>
      </w:r>
      <w:r w:rsidRPr="0042238C">
        <w:t>%)</w:t>
      </w:r>
      <w:r w:rsidR="00723A09" w:rsidRPr="0042238C">
        <w:t xml:space="preserve"> </w:t>
      </w:r>
      <w:r w:rsidR="00D6636F">
        <w:t>obniżyły</w:t>
      </w:r>
      <w:r w:rsidRPr="0042238C">
        <w:t xml:space="preserve"> </w:t>
      </w:r>
      <w:r w:rsidR="00EE0FFF" w:rsidRPr="0042238C">
        <w:t>ten wskaźnik odpowiednio o 0,1</w:t>
      </w:r>
      <w:r w:rsidR="00D6636F">
        <w:t>7</w:t>
      </w:r>
      <w:r w:rsidR="00EE0FFF" w:rsidRPr="0042238C">
        <w:t xml:space="preserve"> p. proc.</w:t>
      </w:r>
      <w:r w:rsidR="00D6636F">
        <w:t xml:space="preserve"> i</w:t>
      </w:r>
      <w:r w:rsidR="006C0B09" w:rsidRPr="0042238C">
        <w:t xml:space="preserve"> </w:t>
      </w:r>
      <w:r w:rsidR="00EE0FFF" w:rsidRPr="0042238C">
        <w:t>0,0</w:t>
      </w:r>
      <w:r w:rsidR="00D6636F">
        <w:t>8</w:t>
      </w:r>
      <w:r w:rsidR="00EE0FFF" w:rsidRPr="0042238C">
        <w:t xml:space="preserve"> p. proc</w:t>
      </w:r>
      <w:r w:rsidRPr="0042238C">
        <w:t>.</w:t>
      </w:r>
      <w:r w:rsidRPr="0042238C">
        <w:rPr>
          <w:b/>
        </w:rPr>
        <w:t xml:space="preserve"> </w:t>
      </w:r>
      <w:r w:rsidR="00D6636F">
        <w:rPr>
          <w:b/>
        </w:rPr>
        <w:br/>
      </w:r>
      <w:r w:rsidRPr="0042238C">
        <w:t xml:space="preserve">W porównaniu z </w:t>
      </w:r>
      <w:r w:rsidR="00AE4D8A">
        <w:t>sierpniem</w:t>
      </w:r>
      <w:r w:rsidRPr="0042238C">
        <w:t xml:space="preserve"> poprzedniego roku </w:t>
      </w:r>
      <w:r w:rsidR="00B273ED" w:rsidRPr="0042238C">
        <w:t>wyższe</w:t>
      </w:r>
      <w:r w:rsidRPr="0042238C">
        <w:t xml:space="preserve"> ceny </w:t>
      </w:r>
      <w:r w:rsidR="00B273ED" w:rsidRPr="0042238C">
        <w:t>w zakresie transportu</w:t>
      </w:r>
      <w:r w:rsidRPr="0042238C">
        <w:t xml:space="preserve"> (o </w:t>
      </w:r>
      <w:r w:rsidR="00D6636F">
        <w:t>8</w:t>
      </w:r>
      <w:r w:rsidR="00F72466" w:rsidRPr="0042238C">
        <w:t>,</w:t>
      </w:r>
      <w:r w:rsidR="00D6636F">
        <w:t>5</w:t>
      </w:r>
      <w:r w:rsidR="00B273ED" w:rsidRPr="0042238C">
        <w:t xml:space="preserve">%), </w:t>
      </w:r>
      <w:r w:rsidR="00AE4D8A">
        <w:t>a </w:t>
      </w:r>
      <w:r w:rsidR="00D6636F">
        <w:t xml:space="preserve">także mieszkania oraz </w:t>
      </w:r>
      <w:r w:rsidR="00B273ED" w:rsidRPr="0042238C">
        <w:t>żywności</w:t>
      </w:r>
      <w:r w:rsidRPr="0042238C">
        <w:t xml:space="preserve"> </w:t>
      </w:r>
      <w:r w:rsidR="00D6636F">
        <w:t xml:space="preserve">i napojów bezalkoholowych </w:t>
      </w:r>
      <w:r w:rsidRPr="0042238C">
        <w:t>(</w:t>
      </w:r>
      <w:r w:rsidR="00D6636F">
        <w:t>p</w:t>
      </w:r>
      <w:r w:rsidRPr="0042238C">
        <w:t xml:space="preserve">o </w:t>
      </w:r>
      <w:r w:rsidR="00F72466" w:rsidRPr="0042238C">
        <w:t>2,</w:t>
      </w:r>
      <w:r w:rsidR="00D6636F">
        <w:t>1</w:t>
      </w:r>
      <w:r w:rsidR="00674A8B" w:rsidRPr="0042238C">
        <w:t xml:space="preserve">%) </w:t>
      </w:r>
      <w:r w:rsidRPr="0042238C">
        <w:t>pod</w:t>
      </w:r>
      <w:r w:rsidRPr="0042238C">
        <w:softHyphen/>
      </w:r>
      <w:r w:rsidR="00D401C9" w:rsidRPr="0042238C">
        <w:t>wyższyły</w:t>
      </w:r>
      <w:r w:rsidRPr="0042238C">
        <w:t xml:space="preserve"> wskaźnik </w:t>
      </w:r>
      <w:r w:rsidR="00E82C7E" w:rsidRPr="0042238C">
        <w:t>cen towarów i </w:t>
      </w:r>
      <w:r w:rsidR="00D401C9" w:rsidRPr="0042238C">
        <w:t xml:space="preserve">usług konsumpcyjnych </w:t>
      </w:r>
      <w:r w:rsidRPr="0042238C">
        <w:t>odpowiednio o 0,</w:t>
      </w:r>
      <w:r w:rsidR="00D6636F">
        <w:t>73</w:t>
      </w:r>
      <w:r w:rsidRPr="0042238C">
        <w:t xml:space="preserve"> p. proc.</w:t>
      </w:r>
      <w:r w:rsidR="009D1423" w:rsidRPr="0042238C">
        <w:t>, 0,</w:t>
      </w:r>
      <w:r w:rsidR="00F72466" w:rsidRPr="0042238C">
        <w:t>5</w:t>
      </w:r>
      <w:r w:rsidR="00D6636F">
        <w:t>4</w:t>
      </w:r>
      <w:r w:rsidR="00AE4D8A">
        <w:t> p. </w:t>
      </w:r>
      <w:r w:rsidR="009D1423" w:rsidRPr="0042238C">
        <w:t>proc.</w:t>
      </w:r>
      <w:r w:rsidRPr="0042238C">
        <w:t xml:space="preserve"> i 0,</w:t>
      </w:r>
      <w:r w:rsidR="00D6636F">
        <w:t>51</w:t>
      </w:r>
      <w:r w:rsidR="00917CCF" w:rsidRPr="0042238C">
        <w:t> </w:t>
      </w:r>
      <w:r w:rsidR="00F04C11" w:rsidRPr="0042238C">
        <w:t>p. </w:t>
      </w:r>
      <w:r w:rsidRPr="0042238C">
        <w:t xml:space="preserve">proc. Niższe ceny odzieży i obuwia (o </w:t>
      </w:r>
      <w:r w:rsidR="009606DC">
        <w:t>3</w:t>
      </w:r>
      <w:r w:rsidR="00B273ED" w:rsidRPr="0042238C">
        <w:t>,</w:t>
      </w:r>
      <w:r w:rsidR="009606DC">
        <w:t>4</w:t>
      </w:r>
      <w:r w:rsidR="00674A8B" w:rsidRPr="0042238C">
        <w:t xml:space="preserve">%) </w:t>
      </w:r>
      <w:r w:rsidRPr="0042238C">
        <w:t xml:space="preserve">obniżyły </w:t>
      </w:r>
      <w:r w:rsidR="00D401C9" w:rsidRPr="0042238C">
        <w:t xml:space="preserve">ten </w:t>
      </w:r>
      <w:r w:rsidRPr="0042238C">
        <w:t>wskaźnik o 0,</w:t>
      </w:r>
      <w:r w:rsidR="009606DC">
        <w:t>18</w:t>
      </w:r>
      <w:r w:rsidR="00D401C9" w:rsidRPr="0042238C">
        <w:t xml:space="preserve"> p. proc</w:t>
      </w:r>
      <w:r w:rsidRPr="0042238C">
        <w:t>.</w:t>
      </w:r>
    </w:p>
    <w:bookmarkEnd w:id="0"/>
    <w:p w:rsidR="00A07F00" w:rsidRPr="0042238C" w:rsidRDefault="00A07F00" w:rsidP="00C27D75"/>
    <w:p w:rsidR="00A07F00" w:rsidRPr="0042238C" w:rsidRDefault="00BC3A47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ge">
                  <wp:posOffset>2905125</wp:posOffset>
                </wp:positionV>
                <wp:extent cx="1725295" cy="1838325"/>
                <wp:effectExtent l="0" t="0" r="0" b="9525"/>
                <wp:wrapSquare wrapText="bothSides"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955" w:rsidRPr="00674A8B" w:rsidRDefault="000E0955" w:rsidP="00A07F0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AE4D8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sierpniu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2018 r.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największy wpływ na wskaźnik cen </w:t>
                            </w:r>
                            <w:r w:rsidR="009216B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towarów i usług konsumpcyjnych ogółem miały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niższe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ceny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warzyw</w:t>
                            </w:r>
                            <w:r w:rsidR="009216B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i owoców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="009216B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które obniżyły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ten wskaźnik </w:t>
                            </w:r>
                            <w:r w:rsidR="009216B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odpowiednio 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 </w:t>
                            </w:r>
                            <w:r w:rsidR="009216B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0,11 p. proc. i 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0,</w:t>
                            </w:r>
                            <w:r w:rsidR="001D1CD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09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414.75pt;margin-top:228.75pt;width:135.85pt;height:14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/+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" filled="f" stroked="f">
                <v:textbox>
                  <w:txbxContent>
                    <w:p w:rsidR="000E0955" w:rsidRPr="00674A8B" w:rsidRDefault="000E0955" w:rsidP="00A07F0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AE4D8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sierpniu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2018 r.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największy wpływ na wskaźnik cen </w:t>
                      </w:r>
                      <w:r w:rsidR="009216B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towarów i usług konsumpcyjnych ogółem miały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niższe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ceny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warzyw</w:t>
                      </w:r>
                      <w:r w:rsidR="009216B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i owoców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="009216B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które obniżyły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ten wskaźnik </w:t>
                      </w:r>
                      <w:r w:rsidR="009216B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odpowiednio 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 </w:t>
                      </w:r>
                      <w:r w:rsidR="009216B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0,11 p. proc. i 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0,</w:t>
                      </w:r>
                      <w:r w:rsidR="001D1CD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09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p. proc.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07F00" w:rsidRPr="0042238C">
        <w:t xml:space="preserve">Wykres </w:t>
      </w:r>
      <w:r w:rsidR="00761070" w:rsidRPr="0042238C">
        <w:t>1</w:t>
      </w:r>
      <w:r w:rsidR="00A07F00" w:rsidRPr="0042238C">
        <w:t>.</w:t>
      </w:r>
      <w:r w:rsidR="00A07F00" w:rsidRPr="0042238C">
        <w:rPr>
          <w:shd w:val="clear" w:color="auto" w:fill="FFFFFF"/>
        </w:rPr>
        <w:t xml:space="preserve"> Wpływ zmian cen wybranych grup towarów i usług konsumpcyjnych w </w:t>
      </w:r>
      <w:r w:rsidR="006147B2">
        <w:rPr>
          <w:shd w:val="clear" w:color="auto" w:fill="FFFFFF"/>
        </w:rPr>
        <w:t>sierpniu</w:t>
      </w:r>
      <w:r w:rsidR="00A07F00" w:rsidRPr="0042238C">
        <w:rPr>
          <w:shd w:val="clear" w:color="auto" w:fill="FFFFFF"/>
        </w:rPr>
        <w:t xml:space="preserve"> 201</w:t>
      </w:r>
      <w:r w:rsidR="00C27D75" w:rsidRPr="0042238C">
        <w:rPr>
          <w:shd w:val="clear" w:color="auto" w:fill="FFFFFF"/>
        </w:rPr>
        <w:t>8</w:t>
      </w:r>
      <w:r w:rsidR="00A07F00" w:rsidRPr="0042238C">
        <w:rPr>
          <w:shd w:val="clear" w:color="auto" w:fill="FFFFFF"/>
        </w:rPr>
        <w:t xml:space="preserve"> r.</w:t>
      </w:r>
      <w:r w:rsidR="00A07F00" w:rsidRPr="0042238C">
        <w:rPr>
          <w:noProof/>
          <w:shd w:val="clear" w:color="auto" w:fill="FFFFFF"/>
          <w:lang w:eastAsia="pl-PL"/>
        </w:rPr>
        <w:t xml:space="preserve"> </w:t>
      </w:r>
      <w:r w:rsidR="0051646A" w:rsidRPr="0042238C">
        <w:rPr>
          <w:noProof/>
          <w:shd w:val="clear" w:color="auto" w:fill="FFFFFF"/>
          <w:lang w:eastAsia="pl-PL"/>
        </w:rPr>
        <w:br/>
        <w:t>(z</w:t>
      </w:r>
      <w:r w:rsidR="0051646A" w:rsidRPr="0042238C">
        <w:rPr>
          <w:shd w:val="clear" w:color="auto" w:fill="FFFFFF"/>
        </w:rPr>
        <w:t>miana w p. proc. do okresu poprzedniego)</w:t>
      </w:r>
    </w:p>
    <w:p w:rsidR="00A07F00" w:rsidRPr="0042238C" w:rsidRDefault="009216BA" w:rsidP="00C27D75">
      <w:pPr>
        <w:pStyle w:val="tytuwykresu"/>
        <w:rPr>
          <w:b w:val="0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31248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5E" w:rsidRPr="0042238C" w:rsidRDefault="00BC3A47">
      <w:pPr>
        <w:spacing w:before="0" w:after="160" w:line="259" w:lineRule="auto"/>
        <w:rPr>
          <w:b/>
          <w:spacing w:val="-2"/>
          <w:sz w:val="18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ge">
                  <wp:posOffset>6753225</wp:posOffset>
                </wp:positionV>
                <wp:extent cx="1725295" cy="1800225"/>
                <wp:effectExtent l="0" t="0" r="0" b="0"/>
                <wp:wrapTight wrapText="bothSides">
                  <wp:wrapPolygon edited="0">
                    <wp:start x="715" y="0"/>
                    <wp:lineTo x="715" y="21257"/>
                    <wp:lineTo x="20749" y="21257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55" w:rsidRPr="00BF2F65" w:rsidRDefault="000E0955" w:rsidP="00792E24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 2018 r., podobnie jak w latach poprzednich, największy udział wydatków w obliczeniach wskaźnika cen towarów i usług konsumpcyjnych mają żywność i napoje bezalkoholowe (24,36%) oraz towary i usługi związane z użytkowaniem mieszkania lub domu i nośniki energii (20,35%)</w:t>
                            </w:r>
                          </w:p>
                          <w:p w:rsidR="000E0955" w:rsidRPr="00BF2F65" w:rsidRDefault="000E0955" w:rsidP="00792E24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4.75pt;margin-top:531.75pt;width:135.85pt;height:141.7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" filled="f" stroked="f">
                <v:textbox>
                  <w:txbxContent>
                    <w:p w:rsidR="000E0955" w:rsidRPr="00BF2F65" w:rsidRDefault="000E0955" w:rsidP="00792E24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 2018 r., podobnie jak w latach poprzednich, największy udział wydatków w obliczeniach wskaźnika cen towarów i usług konsumpcyjnych mają żywność i napoje bezalkoholowe (24,36%) oraz towary i usługi związane z użytkowaniem mieszkania lub domu i nośniki energii (20,35%)</w:t>
                      </w:r>
                    </w:p>
                    <w:p w:rsidR="000E0955" w:rsidRPr="00BF2F65" w:rsidRDefault="000E0955" w:rsidP="00792E24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F4399" w:rsidRPr="0042238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42238C">
        <w:rPr>
          <w:b/>
          <w:spacing w:val="-2"/>
          <w:sz w:val="18"/>
        </w:rPr>
        <w:br/>
      </w:r>
      <w:r w:rsidR="005F4399" w:rsidRPr="0042238C">
        <w:rPr>
          <w:b/>
          <w:spacing w:val="-2"/>
          <w:sz w:val="18"/>
        </w:rPr>
        <w:t xml:space="preserve">i usług </w:t>
      </w:r>
      <w:r w:rsidR="00792E24" w:rsidRPr="0042238C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286385</wp:posOffset>
            </wp:positionV>
            <wp:extent cx="5122545" cy="3600000"/>
            <wp:effectExtent l="0" t="0" r="1905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F4399" w:rsidRPr="0042238C">
        <w:rPr>
          <w:b/>
          <w:spacing w:val="-2"/>
          <w:sz w:val="18"/>
        </w:rPr>
        <w:t>konsumpcyjnych w 2018 r.</w:t>
      </w:r>
      <w:r w:rsidR="00C73B5E" w:rsidRPr="0042238C">
        <w:br w:type="page"/>
      </w:r>
    </w:p>
    <w:p w:rsidR="003A440F" w:rsidRPr="0042238C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42238C">
        <w:t xml:space="preserve">Wykres </w:t>
      </w:r>
      <w:r w:rsidR="00CF08EF" w:rsidRPr="0042238C">
        <w:t>3</w:t>
      </w:r>
      <w:r w:rsidRPr="0042238C">
        <w:t>.</w:t>
      </w:r>
      <w:r w:rsidRPr="0042238C">
        <w:rPr>
          <w:shd w:val="clear" w:color="auto" w:fill="FFFFFF"/>
        </w:rPr>
        <w:t xml:space="preserve"> C</w:t>
      </w:r>
      <w:r w:rsidRPr="0042238C">
        <w:rPr>
          <w:bCs/>
          <w:shd w:val="clear" w:color="auto" w:fill="FFFFFF"/>
        </w:rPr>
        <w:t xml:space="preserve">eny towarów i usług konsumpcyjnych </w:t>
      </w:r>
      <w:r w:rsidRPr="0042238C">
        <w:rPr>
          <w:shd w:val="clear" w:color="auto" w:fill="FFFFFF"/>
        </w:rPr>
        <w:t>(zmiana w % do okresu poprzedniego)</w:t>
      </w:r>
      <w:r w:rsidRPr="0042238C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42238C" w:rsidRDefault="00FA6F9A" w:rsidP="0026302B">
      <w:pPr>
        <w:pStyle w:val="LID"/>
        <w:rPr>
          <w:b w:val="0"/>
          <w:spacing w:val="-2"/>
          <w:sz w:val="18"/>
        </w:rPr>
      </w:pPr>
      <w: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12000" cy="2545200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160" w:rsidRPr="0042238C" w:rsidRDefault="00BC3A47" w:rsidP="00034160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ge">
                  <wp:posOffset>4010025</wp:posOffset>
                </wp:positionV>
                <wp:extent cx="1725295" cy="1590675"/>
                <wp:effectExtent l="0" t="0" r="0" b="9525"/>
                <wp:wrapTight wrapText="bothSides">
                  <wp:wrapPolygon edited="0">
                    <wp:start x="477" y="0"/>
                    <wp:lineTo x="477" y="21471"/>
                    <wp:lineTo x="20749" y="21471"/>
                    <wp:lineTo x="20749" y="0"/>
                    <wp:lineTo x="477" y="0"/>
                  </wp:wrapPolygon>
                </wp:wrapTight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955" w:rsidRPr="00BF2F65" w:rsidRDefault="000E0955" w:rsidP="00034160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442EC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sierpniu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2018 r. wskaźnik cen towarów i usług konsumpcyjnych znajdował się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granicach odchyleń od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celu inflacyjnego określonego przez Radę Polityki Pieniężnej (2,5% +/- 1 p. proc.)</w:t>
                            </w:r>
                          </w:p>
                          <w:p w:rsidR="000E0955" w:rsidRPr="00BF2F65" w:rsidRDefault="000E0955" w:rsidP="0003416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414.75pt;margin-top:315.75pt;width:135.85pt;height:12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    <v:textbox>
                  <w:txbxContent>
                    <w:p w:rsidR="000E0955" w:rsidRPr="00BF2F65" w:rsidRDefault="000E0955" w:rsidP="00034160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442EC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sierpniu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2018 r. wskaźnik cen towarów i usług konsumpcyjnych znajdował się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granicach odchyleń od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celu inflacyjnego określonego przez Radę Polityki Pieniężnej (2,5% +/- 1 p. proc.)</w:t>
                      </w:r>
                    </w:p>
                    <w:p w:rsidR="000E0955" w:rsidRPr="00BF2F65" w:rsidRDefault="000E0955" w:rsidP="0003416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42238C">
        <w:t xml:space="preserve">Wykres </w:t>
      </w:r>
      <w:r w:rsidR="00CF08EF" w:rsidRPr="0042238C">
        <w:t>4</w:t>
      </w:r>
      <w:r w:rsidR="00034160" w:rsidRPr="0042238C">
        <w:t>.</w:t>
      </w:r>
      <w:r w:rsidR="00034160" w:rsidRPr="0042238C">
        <w:rPr>
          <w:shd w:val="clear" w:color="auto" w:fill="FFFFFF"/>
        </w:rPr>
        <w:t xml:space="preserve"> C</w:t>
      </w:r>
      <w:r w:rsidR="00034160" w:rsidRPr="0042238C">
        <w:rPr>
          <w:bCs/>
          <w:shd w:val="clear" w:color="auto" w:fill="FFFFFF"/>
        </w:rPr>
        <w:t xml:space="preserve">eny towarów i usług konsumpcyjnych </w:t>
      </w:r>
      <w:r w:rsidR="00132297" w:rsidRPr="0042238C">
        <w:rPr>
          <w:bCs/>
          <w:shd w:val="clear" w:color="auto" w:fill="FFFFFF"/>
        </w:rPr>
        <w:br/>
      </w:r>
      <w:r w:rsidR="00034160" w:rsidRPr="0042238C">
        <w:rPr>
          <w:shd w:val="clear" w:color="auto" w:fill="FFFFFF"/>
        </w:rPr>
        <w:t>(zmiana w % do analogicznego okresu roku poprzedniego)</w:t>
      </w:r>
    </w:p>
    <w:p w:rsidR="00034160" w:rsidRPr="0042238C" w:rsidRDefault="00442EC3" w:rsidP="00740107">
      <w:pPr>
        <w:spacing w:before="0" w:line="259" w:lineRule="auto"/>
        <w:rPr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55960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BB" w:rsidRPr="0042238C" w:rsidRDefault="00883763" w:rsidP="001E7DBB">
      <w:pPr>
        <w:pStyle w:val="tytuwykresu"/>
        <w:rPr>
          <w:bCs/>
          <w:shd w:val="clear" w:color="auto" w:fill="FFFFFF"/>
        </w:rPr>
      </w:pPr>
      <w:r w:rsidRPr="0042238C">
        <w:t xml:space="preserve">Wykres </w:t>
      </w:r>
      <w:r w:rsidR="00CF08EF" w:rsidRPr="0042238C">
        <w:t>5</w:t>
      </w:r>
      <w:r w:rsidRPr="0042238C">
        <w:t>.</w:t>
      </w:r>
      <w:r w:rsidRPr="0042238C">
        <w:rPr>
          <w:shd w:val="clear" w:color="auto" w:fill="FFFFFF"/>
        </w:rPr>
        <w:t xml:space="preserve"> </w:t>
      </w:r>
      <w:r w:rsidR="00761070" w:rsidRPr="0042238C">
        <w:rPr>
          <w:bCs/>
          <w:shd w:val="clear" w:color="auto" w:fill="FFFFFF"/>
        </w:rPr>
        <w:t xml:space="preserve">Wskaźnik cen towarów i usług konsumpcyjnych (CPI) oraz </w:t>
      </w:r>
      <w:r w:rsidR="001E7DBB" w:rsidRPr="0042238C">
        <w:rPr>
          <w:bCs/>
          <w:shd w:val="clear" w:color="auto" w:fill="FFFFFF"/>
        </w:rPr>
        <w:t>z</w:t>
      </w:r>
      <w:r w:rsidR="00761070" w:rsidRPr="0042238C">
        <w:rPr>
          <w:bCs/>
          <w:shd w:val="clear" w:color="auto" w:fill="FFFFFF"/>
        </w:rPr>
        <w:t xml:space="preserve">harmonizowany </w:t>
      </w:r>
      <w:r w:rsidR="001E7DBB" w:rsidRPr="0042238C">
        <w:rPr>
          <w:bCs/>
          <w:shd w:val="clear" w:color="auto" w:fill="FFFFFF"/>
        </w:rPr>
        <w:t xml:space="preserve">wskaźnik </w:t>
      </w:r>
      <w:r w:rsidR="00511F19" w:rsidRPr="0042238C">
        <w:rPr>
          <w:bCs/>
          <w:shd w:val="clear" w:color="auto" w:fill="FFFFFF"/>
        </w:rPr>
        <w:br/>
      </w:r>
      <w:r w:rsidR="001E7DBB" w:rsidRPr="0042238C">
        <w:rPr>
          <w:bCs/>
          <w:shd w:val="clear" w:color="auto" w:fill="FFFFFF"/>
        </w:rPr>
        <w:t xml:space="preserve">cen konsumpcyjnych (HICP) </w:t>
      </w:r>
      <w:r w:rsidR="001E7DBB" w:rsidRPr="0042238C">
        <w:rPr>
          <w:shd w:val="clear" w:color="auto" w:fill="FFFFFF"/>
        </w:rPr>
        <w:t>(zmiana w % do analogicznego okresu roku poprzedniego)</w:t>
      </w:r>
    </w:p>
    <w:p w:rsidR="00820461" w:rsidRPr="0042238C" w:rsidRDefault="00442EC3">
      <w:pPr>
        <w:spacing w:before="0" w:after="160" w:line="259" w:lineRule="auto"/>
        <w:rPr>
          <w:b/>
          <w:noProof/>
          <w:sz w:val="18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527200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61" w:rsidRPr="0042238C">
        <w:rPr>
          <w:sz w:val="18"/>
        </w:rPr>
        <w:br w:type="page"/>
      </w:r>
    </w:p>
    <w:p w:rsidR="00516A50" w:rsidRPr="0042238C" w:rsidRDefault="00516A50" w:rsidP="00516A50">
      <w:pPr>
        <w:pStyle w:val="LID"/>
        <w:rPr>
          <w:bCs/>
          <w:sz w:val="18"/>
          <w:shd w:val="clear" w:color="auto" w:fill="FFFFFF"/>
        </w:rPr>
      </w:pPr>
      <w:r w:rsidRPr="0042238C">
        <w:rPr>
          <w:sz w:val="18"/>
        </w:rPr>
        <w:t xml:space="preserve">Tablica </w:t>
      </w:r>
      <w:r w:rsidR="00CF08EF" w:rsidRPr="0042238C">
        <w:rPr>
          <w:sz w:val="18"/>
        </w:rPr>
        <w:t>2</w:t>
      </w:r>
      <w:r w:rsidRPr="0042238C">
        <w:rPr>
          <w:sz w:val="18"/>
        </w:rPr>
        <w:t>.</w:t>
      </w:r>
      <w:r w:rsidRPr="0042238C">
        <w:rPr>
          <w:sz w:val="18"/>
          <w:shd w:val="clear" w:color="auto" w:fill="FFFFFF"/>
        </w:rPr>
        <w:t xml:space="preserve"> </w:t>
      </w:r>
      <w:r w:rsidRPr="0042238C">
        <w:rPr>
          <w:bCs/>
          <w:sz w:val="18"/>
          <w:shd w:val="clear" w:color="auto" w:fill="FFFFFF"/>
        </w:rPr>
        <w:t xml:space="preserve">Wskaźniki cen towarów i usług konsumpcyjnych w </w:t>
      </w:r>
      <w:r w:rsidR="00CA40FE">
        <w:rPr>
          <w:bCs/>
          <w:sz w:val="18"/>
          <w:shd w:val="clear" w:color="auto" w:fill="FFFFFF"/>
        </w:rPr>
        <w:t>sierpniu</w:t>
      </w:r>
      <w:r w:rsidRPr="0042238C">
        <w:rPr>
          <w:sz w:val="18"/>
        </w:rPr>
        <w:t xml:space="preserve"> 201</w:t>
      </w:r>
      <w:r w:rsidR="00C27D75" w:rsidRPr="0042238C">
        <w:rPr>
          <w:sz w:val="18"/>
        </w:rPr>
        <w:t>8</w:t>
      </w:r>
      <w:r w:rsidRPr="0042238C">
        <w:rPr>
          <w:sz w:val="18"/>
        </w:rPr>
        <w:t> </w:t>
      </w:r>
      <w:r w:rsidRPr="0042238C">
        <w:rPr>
          <w:bCs/>
          <w:sz w:val="18"/>
          <w:shd w:val="clear" w:color="auto" w:fill="FFFFFF"/>
        </w:rPr>
        <w:t>r.</w:t>
      </w:r>
    </w:p>
    <w:p w:rsidR="009E3FA7" w:rsidRPr="0042238C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A93892" w:rsidRPr="0042238C" w:rsidTr="005D0389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42238C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42238C" w:rsidRDefault="003B5096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A40F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A93892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42238C" w:rsidRDefault="00776D79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CA40F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A93892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</w:p>
        </w:tc>
      </w:tr>
      <w:tr w:rsidR="005D0389" w:rsidRPr="0042238C" w:rsidTr="005D0389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D0389" w:rsidRPr="0042238C" w:rsidRDefault="005D0389" w:rsidP="00A9389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1F60D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A40F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2017=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XII 2017=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776D79" w:rsidP="00776D7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CA40F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2018=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5D038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76D79" w:rsidRPr="0042238C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A40F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2017= </w:t>
            </w:r>
            <w:r w:rsidR="00776D79"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681F5E" w:rsidRPr="0042238C" w:rsidTr="002535A1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81F5E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119,6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NAPOJE ALKOHOLOWE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681F5E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</w:tr>
      <w:tr w:rsidR="00681F5E" w:rsidRPr="0042238C" w:rsidTr="002535A1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681F5E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81F5E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</w:tr>
      <w:tr w:rsidR="00681F5E" w:rsidRPr="0042238C" w:rsidTr="002535A1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681F5E" w:rsidRPr="0042238C" w:rsidRDefault="00681F5E" w:rsidP="00681F5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5E" w:rsidRPr="00681F5E" w:rsidRDefault="00681F5E" w:rsidP="00681F5E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1F5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87,4</w:t>
            </w:r>
          </w:p>
        </w:tc>
      </w:tr>
    </w:tbl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sz w:val="18"/>
          <w:shd w:val="clear" w:color="auto" w:fill="FFFFFF"/>
        </w:rPr>
      </w:pPr>
    </w:p>
    <w:p w:rsidR="00DF712D" w:rsidRPr="0042238C" w:rsidRDefault="00DF712D" w:rsidP="00883763">
      <w:pPr>
        <w:spacing w:before="0" w:after="160" w:line="259" w:lineRule="auto"/>
      </w:pPr>
    </w:p>
    <w:p w:rsidR="00685123" w:rsidRPr="0042238C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42238C" w:rsidSect="00EF7B36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42238C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277489" w:rsidTr="00EE696D">
        <w:trPr>
          <w:trHeight w:val="1912"/>
        </w:trPr>
        <w:tc>
          <w:tcPr>
            <w:tcW w:w="4379" w:type="dxa"/>
          </w:tcPr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42238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2238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 w:rsidRPr="0042238C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GB"/>
              </w:rPr>
              <w:t xml:space="preserve"> </w:t>
            </w:r>
            <w:hyperlink r:id="rId20" w:history="1">
              <w:r w:rsidRPr="0042238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2238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42238C">
              <w:rPr>
                <w:rFonts w:cs="Arial"/>
                <w:color w:val="000000" w:themeColor="text1"/>
                <w:sz w:val="20"/>
              </w:rPr>
              <w:br/>
            </w:r>
            <w:r w:rsidRPr="0042238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1" w:history="1">
              <w:r w:rsidRPr="0042238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42238C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42238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42238C" w:rsidRDefault="000470AA" w:rsidP="000470AA">
            <w:pPr>
              <w:rPr>
                <w:b/>
                <w:sz w:val="20"/>
              </w:rPr>
            </w:pPr>
            <w:r w:rsidRPr="0042238C">
              <w:rPr>
                <w:b/>
                <w:sz w:val="20"/>
              </w:rPr>
              <w:t xml:space="preserve">Wydział Współpracy z Mediami </w:t>
            </w:r>
          </w:p>
          <w:p w:rsidR="000470AA" w:rsidRPr="0042238C" w:rsidRDefault="000470AA" w:rsidP="000470AA">
            <w:pPr>
              <w:rPr>
                <w:sz w:val="20"/>
              </w:rPr>
            </w:pPr>
            <w:r w:rsidRPr="0042238C">
              <w:rPr>
                <w:b/>
                <w:sz w:val="20"/>
              </w:rPr>
              <w:t xml:space="preserve">tel.: </w:t>
            </w:r>
            <w:r w:rsidR="00097840" w:rsidRPr="0042238C">
              <w:rPr>
                <w:sz w:val="20"/>
              </w:rPr>
              <w:t>22 608 34 91, 22</w:t>
            </w:r>
            <w:r w:rsidRPr="0042238C">
              <w:rPr>
                <w:sz w:val="20"/>
              </w:rPr>
              <w:t xml:space="preserve"> 608 38 04 </w:t>
            </w:r>
          </w:p>
          <w:p w:rsidR="000470AA" w:rsidRPr="0042238C" w:rsidRDefault="000470AA" w:rsidP="000470AA">
            <w:pPr>
              <w:rPr>
                <w:sz w:val="20"/>
                <w:lang w:val="en-GB"/>
              </w:rPr>
            </w:pPr>
            <w:r w:rsidRPr="0042238C">
              <w:rPr>
                <w:b/>
                <w:sz w:val="20"/>
                <w:lang w:val="en-GB"/>
              </w:rPr>
              <w:t>faks:</w:t>
            </w:r>
            <w:r w:rsidR="00097840" w:rsidRPr="0042238C">
              <w:rPr>
                <w:sz w:val="20"/>
                <w:lang w:val="en-GB"/>
              </w:rPr>
              <w:t xml:space="preserve"> 22</w:t>
            </w:r>
            <w:r w:rsidRPr="0042238C">
              <w:rPr>
                <w:sz w:val="20"/>
                <w:lang w:val="en-GB"/>
              </w:rPr>
              <w:t xml:space="preserve"> 608 38 86 </w:t>
            </w:r>
          </w:p>
          <w:p w:rsidR="000470AA" w:rsidRPr="0042238C" w:rsidRDefault="000470AA" w:rsidP="000470AA">
            <w:pPr>
              <w:rPr>
                <w:sz w:val="18"/>
                <w:lang w:val="en-GB"/>
              </w:rPr>
            </w:pPr>
            <w:r w:rsidRPr="0042238C">
              <w:rPr>
                <w:b/>
                <w:sz w:val="20"/>
                <w:lang w:val="en-GB"/>
              </w:rPr>
              <w:t>e-mail:</w:t>
            </w:r>
            <w:r w:rsidRPr="0042238C">
              <w:rPr>
                <w:sz w:val="20"/>
                <w:lang w:val="en-GB"/>
              </w:rPr>
              <w:t xml:space="preserve"> </w:t>
            </w:r>
            <w:hyperlink r:id="rId22" w:history="1">
              <w:r w:rsidRPr="0042238C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  <w:lang w:val="en-GB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sz w:val="20"/>
              </w:rPr>
              <w:t>www.stat.gov.pl</w:t>
            </w:r>
          </w:p>
        </w:tc>
      </w:tr>
      <w:tr w:rsidR="000470AA" w:rsidRPr="0042238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sz w:val="20"/>
              </w:rPr>
              <w:t>@GUS_STAT</w:t>
            </w:r>
          </w:p>
        </w:tc>
      </w:tr>
      <w:tr w:rsidR="000470AA" w:rsidRPr="0042238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2238C" w:rsidRDefault="000470AA" w:rsidP="000470AA">
            <w:pPr>
              <w:rPr>
                <w:sz w:val="20"/>
              </w:rPr>
            </w:pPr>
            <w:r w:rsidRPr="0042238C">
              <w:rPr>
                <w:sz w:val="20"/>
              </w:rPr>
              <w:t>@GlownyUrzadStatystyczny</w:t>
            </w:r>
          </w:p>
        </w:tc>
      </w:tr>
    </w:tbl>
    <w:p w:rsidR="00D261A2" w:rsidRPr="00065E4D" w:rsidRDefault="00BC3A47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55" w:rsidRDefault="000E0955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0E0955" w:rsidRPr="006761A7" w:rsidRDefault="000E0955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0E0955" w:rsidRPr="00E233EA" w:rsidRDefault="000E095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E0955" w:rsidRPr="00E233EA" w:rsidRDefault="000E095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0E0955" w:rsidRPr="006761A7" w:rsidRDefault="000E095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E0955" w:rsidRDefault="000E095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0E0955" w:rsidRPr="006761A7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0E0955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0E0955" w:rsidRPr="00065E4D" w:rsidRDefault="009453B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0E0955" w:rsidRPr="00065E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    <v:textbox>
                  <w:txbxContent>
                    <w:p w:rsidR="000E0955" w:rsidRDefault="000E0955" w:rsidP="00883763">
                      <w:pPr>
                        <w:rPr>
                          <w:b/>
                        </w:rPr>
                      </w:pPr>
                    </w:p>
                    <w:p w:rsidR="000E0955" w:rsidRPr="006761A7" w:rsidRDefault="000E0955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0E0955" w:rsidRPr="00E233EA" w:rsidRDefault="000E095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E0955" w:rsidRPr="00E233EA" w:rsidRDefault="000E095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0E0955" w:rsidRPr="006761A7" w:rsidRDefault="000E095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E0955" w:rsidRDefault="000E095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0E0955" w:rsidRPr="006761A7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0E0955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0E0955" w:rsidRPr="00065E4D" w:rsidRDefault="009453B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0E0955" w:rsidRPr="00065E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65E4D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B8" w:rsidRDefault="009453B8" w:rsidP="000662E2">
      <w:pPr>
        <w:spacing w:after="0" w:line="240" w:lineRule="auto"/>
      </w:pPr>
      <w:r>
        <w:separator/>
      </w:r>
    </w:p>
  </w:endnote>
  <w:endnote w:type="continuationSeparator" w:id="0">
    <w:p w:rsidR="009453B8" w:rsidRDefault="009453B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0E0955" w:rsidRDefault="000E095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0E0955" w:rsidRDefault="000E095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0E0955" w:rsidRDefault="000E095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B8" w:rsidRDefault="009453B8" w:rsidP="000662E2">
      <w:pPr>
        <w:spacing w:after="0" w:line="240" w:lineRule="auto"/>
      </w:pPr>
      <w:r>
        <w:separator/>
      </w:r>
    </w:p>
  </w:footnote>
  <w:footnote w:type="continuationSeparator" w:id="0">
    <w:p w:rsidR="009453B8" w:rsidRDefault="009453B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55" w:rsidRDefault="00BC3A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C30B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0E0955" w:rsidRDefault="000E09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55" w:rsidRDefault="00BC3A47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0955" w:rsidRPr="003C6C8D" w:rsidRDefault="000E0955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ytRQ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BfqDytRQYAACMs&#10;AAAOAAAAAAAAAAAAAAAAAC4CAABkcnMvZTJvRG9jLnhtbFBLAQItABQABgAIAAAAIQAwTwz13gAA&#10;AAoBAAAPAAAAAAAAAAAAAAAAAJ8IAABkcnMvZG93bnJldi54bWxQSwUGAAAAAAQABADzAAAAqg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0E0955" w:rsidRPr="003C6C8D" w:rsidRDefault="000E0955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CB86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0E0955">
      <w:rPr>
        <w:noProof/>
        <w:lang w:eastAsia="pl-PL"/>
      </w:rPr>
      <w:drawing>
        <wp:inline distT="0" distB="0" distL="0" distR="0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0955" w:rsidRDefault="00BC3A47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955" w:rsidRPr="00C97596" w:rsidRDefault="000E095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13.09.2018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0E0955" w:rsidRPr="00C97596" w:rsidRDefault="000E095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13.09.2018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55" w:rsidRDefault="000E0955">
    <w:pPr>
      <w:pStyle w:val="Nagwek"/>
    </w:pPr>
  </w:p>
  <w:p w:rsidR="000E0955" w:rsidRDefault="000E0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25pt;height:125.3pt;visibility:visible" o:bullet="t">
        <v:imagedata r:id="rId1" o:title=""/>
      </v:shape>
    </w:pict>
  </w:numPicBullet>
  <w:numPicBullet w:numPicBulletId="1">
    <w:pict>
      <v:shape id="_x0000_i1029" type="#_x0000_t75" style="width:123.9pt;height:125.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01FC"/>
    <w:rsid w:val="0002787F"/>
    <w:rsid w:val="00034160"/>
    <w:rsid w:val="0004015D"/>
    <w:rsid w:val="0004582E"/>
    <w:rsid w:val="0004646A"/>
    <w:rsid w:val="000470AA"/>
    <w:rsid w:val="00057CA1"/>
    <w:rsid w:val="00065E4D"/>
    <w:rsid w:val="000662E2"/>
    <w:rsid w:val="00066883"/>
    <w:rsid w:val="00074DD8"/>
    <w:rsid w:val="000800B4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D7E94"/>
    <w:rsid w:val="000E0918"/>
    <w:rsid w:val="000E0955"/>
    <w:rsid w:val="000F2650"/>
    <w:rsid w:val="000F3E3C"/>
    <w:rsid w:val="000F5B4E"/>
    <w:rsid w:val="001011C3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951DA"/>
    <w:rsid w:val="001A7573"/>
    <w:rsid w:val="001A78D0"/>
    <w:rsid w:val="001A7ED5"/>
    <w:rsid w:val="001C3269"/>
    <w:rsid w:val="001D1CD4"/>
    <w:rsid w:val="001D1DB4"/>
    <w:rsid w:val="001E1D94"/>
    <w:rsid w:val="001E7DBB"/>
    <w:rsid w:val="001F60D1"/>
    <w:rsid w:val="002268BB"/>
    <w:rsid w:val="002535A1"/>
    <w:rsid w:val="002574F9"/>
    <w:rsid w:val="002621B1"/>
    <w:rsid w:val="00262B61"/>
    <w:rsid w:val="0026302B"/>
    <w:rsid w:val="00263B81"/>
    <w:rsid w:val="002724FF"/>
    <w:rsid w:val="00274ACF"/>
    <w:rsid w:val="00275FA6"/>
    <w:rsid w:val="00276811"/>
    <w:rsid w:val="00276C9A"/>
    <w:rsid w:val="00277489"/>
    <w:rsid w:val="00282699"/>
    <w:rsid w:val="0029055D"/>
    <w:rsid w:val="00290CB6"/>
    <w:rsid w:val="002926DF"/>
    <w:rsid w:val="00296697"/>
    <w:rsid w:val="002A4D80"/>
    <w:rsid w:val="002B0472"/>
    <w:rsid w:val="002B367C"/>
    <w:rsid w:val="002B6B12"/>
    <w:rsid w:val="002D0020"/>
    <w:rsid w:val="002E6140"/>
    <w:rsid w:val="002E6985"/>
    <w:rsid w:val="002E71B6"/>
    <w:rsid w:val="002F2592"/>
    <w:rsid w:val="002F77C8"/>
    <w:rsid w:val="00304F22"/>
    <w:rsid w:val="00305162"/>
    <w:rsid w:val="00306C7C"/>
    <w:rsid w:val="00320329"/>
    <w:rsid w:val="00322EDD"/>
    <w:rsid w:val="003256F4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E6F8F"/>
    <w:rsid w:val="003F4C97"/>
    <w:rsid w:val="003F7FE6"/>
    <w:rsid w:val="00400193"/>
    <w:rsid w:val="004212E7"/>
    <w:rsid w:val="0042238C"/>
    <w:rsid w:val="0042446D"/>
    <w:rsid w:val="004276B0"/>
    <w:rsid w:val="00427BF8"/>
    <w:rsid w:val="00431C02"/>
    <w:rsid w:val="00431C4D"/>
    <w:rsid w:val="00437395"/>
    <w:rsid w:val="00442EC3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86EE6"/>
    <w:rsid w:val="00493217"/>
    <w:rsid w:val="0049621B"/>
    <w:rsid w:val="004C1895"/>
    <w:rsid w:val="004C2D88"/>
    <w:rsid w:val="004C6D40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3A67"/>
    <w:rsid w:val="005762A7"/>
    <w:rsid w:val="005877DE"/>
    <w:rsid w:val="005916D7"/>
    <w:rsid w:val="00592E35"/>
    <w:rsid w:val="005A2784"/>
    <w:rsid w:val="005A698C"/>
    <w:rsid w:val="005C1AF8"/>
    <w:rsid w:val="005C21D8"/>
    <w:rsid w:val="005D0389"/>
    <w:rsid w:val="005D1C04"/>
    <w:rsid w:val="005D470D"/>
    <w:rsid w:val="005E0799"/>
    <w:rsid w:val="005E2757"/>
    <w:rsid w:val="005F4399"/>
    <w:rsid w:val="005F5A80"/>
    <w:rsid w:val="006044FF"/>
    <w:rsid w:val="00607CC5"/>
    <w:rsid w:val="00613FD8"/>
    <w:rsid w:val="006147B2"/>
    <w:rsid w:val="006149F0"/>
    <w:rsid w:val="0061655B"/>
    <w:rsid w:val="006321A2"/>
    <w:rsid w:val="00633014"/>
    <w:rsid w:val="0063437B"/>
    <w:rsid w:val="006673CA"/>
    <w:rsid w:val="00673C26"/>
    <w:rsid w:val="00674A8B"/>
    <w:rsid w:val="006812AF"/>
    <w:rsid w:val="00681F5E"/>
    <w:rsid w:val="00682B23"/>
    <w:rsid w:val="0068327D"/>
    <w:rsid w:val="00683EDE"/>
    <w:rsid w:val="00685123"/>
    <w:rsid w:val="00691225"/>
    <w:rsid w:val="00694AF0"/>
    <w:rsid w:val="006A4686"/>
    <w:rsid w:val="006B0E9E"/>
    <w:rsid w:val="006B208D"/>
    <w:rsid w:val="006B20B4"/>
    <w:rsid w:val="006B56F3"/>
    <w:rsid w:val="006B5AE4"/>
    <w:rsid w:val="006C0B09"/>
    <w:rsid w:val="006C4B55"/>
    <w:rsid w:val="006D1507"/>
    <w:rsid w:val="006D4054"/>
    <w:rsid w:val="006D6B72"/>
    <w:rsid w:val="006E02EC"/>
    <w:rsid w:val="006E2804"/>
    <w:rsid w:val="007050A9"/>
    <w:rsid w:val="007059D5"/>
    <w:rsid w:val="007162EB"/>
    <w:rsid w:val="007211B1"/>
    <w:rsid w:val="00723A09"/>
    <w:rsid w:val="0072400B"/>
    <w:rsid w:val="00733D55"/>
    <w:rsid w:val="00740107"/>
    <w:rsid w:val="00746187"/>
    <w:rsid w:val="00752A67"/>
    <w:rsid w:val="00761070"/>
    <w:rsid w:val="0076254F"/>
    <w:rsid w:val="00776D79"/>
    <w:rsid w:val="007801F5"/>
    <w:rsid w:val="00781552"/>
    <w:rsid w:val="00783CA4"/>
    <w:rsid w:val="007842FB"/>
    <w:rsid w:val="007852B9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2D25"/>
    <w:rsid w:val="007F324B"/>
    <w:rsid w:val="00802A9A"/>
    <w:rsid w:val="0080553C"/>
    <w:rsid w:val="00805B46"/>
    <w:rsid w:val="00820461"/>
    <w:rsid w:val="00820B10"/>
    <w:rsid w:val="0082498D"/>
    <w:rsid w:val="00825D31"/>
    <w:rsid w:val="00825DC2"/>
    <w:rsid w:val="00831172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16BA"/>
    <w:rsid w:val="009227A6"/>
    <w:rsid w:val="00933B26"/>
    <w:rsid w:val="00933EC1"/>
    <w:rsid w:val="00942DCA"/>
    <w:rsid w:val="009453B8"/>
    <w:rsid w:val="009530DB"/>
    <w:rsid w:val="00953676"/>
    <w:rsid w:val="009606DC"/>
    <w:rsid w:val="009705EE"/>
    <w:rsid w:val="00971217"/>
    <w:rsid w:val="0097339D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D1423"/>
    <w:rsid w:val="009E2E91"/>
    <w:rsid w:val="009E3BF4"/>
    <w:rsid w:val="009E3FA7"/>
    <w:rsid w:val="009E410D"/>
    <w:rsid w:val="009F5815"/>
    <w:rsid w:val="009F5AB7"/>
    <w:rsid w:val="00A07F00"/>
    <w:rsid w:val="00A12435"/>
    <w:rsid w:val="00A139F5"/>
    <w:rsid w:val="00A21046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810F9"/>
    <w:rsid w:val="00A86ECC"/>
    <w:rsid w:val="00A86FCC"/>
    <w:rsid w:val="00A93892"/>
    <w:rsid w:val="00AA710D"/>
    <w:rsid w:val="00AB6D25"/>
    <w:rsid w:val="00AC5B77"/>
    <w:rsid w:val="00AD4947"/>
    <w:rsid w:val="00AD5F17"/>
    <w:rsid w:val="00AE20FD"/>
    <w:rsid w:val="00AE2D4B"/>
    <w:rsid w:val="00AE3075"/>
    <w:rsid w:val="00AE4D8A"/>
    <w:rsid w:val="00AE4F99"/>
    <w:rsid w:val="00B06265"/>
    <w:rsid w:val="00B11B69"/>
    <w:rsid w:val="00B14952"/>
    <w:rsid w:val="00B273ED"/>
    <w:rsid w:val="00B31E5A"/>
    <w:rsid w:val="00B322EC"/>
    <w:rsid w:val="00B609CE"/>
    <w:rsid w:val="00B653AB"/>
    <w:rsid w:val="00B65F9E"/>
    <w:rsid w:val="00B66B19"/>
    <w:rsid w:val="00B914E9"/>
    <w:rsid w:val="00B94737"/>
    <w:rsid w:val="00B956EE"/>
    <w:rsid w:val="00B97152"/>
    <w:rsid w:val="00BA2BA1"/>
    <w:rsid w:val="00BA3562"/>
    <w:rsid w:val="00BA5A42"/>
    <w:rsid w:val="00BB4F09"/>
    <w:rsid w:val="00BC17C7"/>
    <w:rsid w:val="00BC3A47"/>
    <w:rsid w:val="00BD4E33"/>
    <w:rsid w:val="00BE4B65"/>
    <w:rsid w:val="00BF0546"/>
    <w:rsid w:val="00BF790C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0FE"/>
    <w:rsid w:val="00CA484D"/>
    <w:rsid w:val="00CA4FB6"/>
    <w:rsid w:val="00CB21FD"/>
    <w:rsid w:val="00CC739E"/>
    <w:rsid w:val="00CD1E2E"/>
    <w:rsid w:val="00CD58B7"/>
    <w:rsid w:val="00CF08EF"/>
    <w:rsid w:val="00CF4099"/>
    <w:rsid w:val="00D00796"/>
    <w:rsid w:val="00D02D2C"/>
    <w:rsid w:val="00D25806"/>
    <w:rsid w:val="00D261A2"/>
    <w:rsid w:val="00D401C9"/>
    <w:rsid w:val="00D538E4"/>
    <w:rsid w:val="00D616D2"/>
    <w:rsid w:val="00D63B5F"/>
    <w:rsid w:val="00D6636F"/>
    <w:rsid w:val="00D7066F"/>
    <w:rsid w:val="00D70EF7"/>
    <w:rsid w:val="00D7664A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6708"/>
    <w:rsid w:val="00DC7CFA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24BA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76D26"/>
    <w:rsid w:val="00E82C7E"/>
    <w:rsid w:val="00EB02C9"/>
    <w:rsid w:val="00EB1390"/>
    <w:rsid w:val="00EB1F82"/>
    <w:rsid w:val="00EB2C71"/>
    <w:rsid w:val="00EB4340"/>
    <w:rsid w:val="00EB4D71"/>
    <w:rsid w:val="00EB556D"/>
    <w:rsid w:val="00EB5A7D"/>
    <w:rsid w:val="00EB73D7"/>
    <w:rsid w:val="00ED55C0"/>
    <w:rsid w:val="00ED682B"/>
    <w:rsid w:val="00EE0FFF"/>
    <w:rsid w:val="00EE41D5"/>
    <w:rsid w:val="00EE4ADB"/>
    <w:rsid w:val="00EE696D"/>
    <w:rsid w:val="00EE77ED"/>
    <w:rsid w:val="00EF7B36"/>
    <w:rsid w:val="00F037A4"/>
    <w:rsid w:val="00F04C11"/>
    <w:rsid w:val="00F12FEC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2466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5128"/>
    <w:rsid w:val="00FA5962"/>
    <w:rsid w:val="00FA6F9A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BCA84-EBF7-45B5-967B-A1A716E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image" Target="media/image4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a.bobel@stat.gov.pl" TargetMode="External"/><Relationship Id="rId41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18\WYKRESY\08\08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18\WYKRESY\08\08_2018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a\CenyDet\DyskF\ROBOCZY\Ula\Ci&#261;gutka_pier_str\WST_2018\WYKRESY\08\08_2018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a\CenyDet\DyskF\ROBOCZY\Ula\Ci&#261;gutka_pier_str\WST_2018\WYKRESY\08\08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38316152645180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Warzywa</c:v>
                </c:pt>
                <c:pt idx="1">
                  <c:v>Owoce</c:v>
                </c:pt>
                <c:pt idx="2">
                  <c:v>Obuwie</c:v>
                </c:pt>
                <c:pt idx="3">
                  <c:v>Odzież</c:v>
                </c:pt>
                <c:pt idx="4">
                  <c:v>Napoje alkoholowe</c:v>
                </c:pt>
                <c:pt idx="5">
                  <c:v>Paliwa do prywatnych środków transportu</c:v>
                </c:pt>
                <c:pt idx="6">
                  <c:v>Pieczywo i produkty zbożowe</c:v>
                </c:pt>
                <c:pt idx="7">
                  <c:v>Usługi telekomunikacyjne</c:v>
                </c:pt>
                <c:pt idx="8">
                  <c:v>Usługi transportowe</c:v>
                </c:pt>
                <c:pt idx="9">
                  <c:v>Gaz</c:v>
                </c:pt>
                <c:pt idx="10">
                  <c:v>Ubezpieczenia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-0.11</c:v>
                </c:pt>
                <c:pt idx="1">
                  <c:v>-0.09</c:v>
                </c:pt>
                <c:pt idx="2">
                  <c:v>-0.04</c:v>
                </c:pt>
                <c:pt idx="3">
                  <c:v>-0.04</c:v>
                </c:pt>
                <c:pt idx="4">
                  <c:v>-0.01</c:v>
                </c:pt>
                <c:pt idx="5">
                  <c:v>-0.01</c:v>
                </c:pt>
                <c:pt idx="6">
                  <c:v>0.01</c:v>
                </c:pt>
                <c:pt idx="7">
                  <c:v>0.02</c:v>
                </c:pt>
                <c:pt idx="8">
                  <c:v>0.04</c:v>
                </c:pt>
                <c:pt idx="9">
                  <c:v>0.05</c:v>
                </c:pt>
                <c:pt idx="1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80089664"/>
        <c:axId val="-1280089120"/>
      </c:barChart>
      <c:catAx>
        <c:axId val="-128008966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80089120"/>
        <c:crossesAt val="0"/>
        <c:auto val="1"/>
        <c:lblAlgn val="ctr"/>
        <c:lblOffset val="300"/>
        <c:tickMarkSkip val="1"/>
        <c:noMultiLvlLbl val="0"/>
      </c:catAx>
      <c:valAx>
        <c:axId val="-1280089120"/>
        <c:scaling>
          <c:orientation val="minMax"/>
          <c:max val="8.0000000000000016E-2"/>
          <c:min val="-0.1200000000000000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80089664"/>
        <c:crosses val="autoZero"/>
        <c:crossBetween val="between"/>
        <c:majorUnit val="3.0000000000000006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1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WAG'!$G$2:$G$13</c:f>
              <c:numCache>
                <c:formatCode>0.00</c:formatCode>
                <c:ptCount val="12"/>
                <c:pt idx="0">
                  <c:v>5.55</c:v>
                </c:pt>
                <c:pt idx="1">
                  <c:v>5.71</c:v>
                </c:pt>
                <c:pt idx="2">
                  <c:v>1</c:v>
                </c:pt>
                <c:pt idx="3">
                  <c:v>6.92</c:v>
                </c:pt>
                <c:pt idx="4">
                  <c:v>4.87</c:v>
                </c:pt>
                <c:pt idx="5">
                  <c:v>8.74</c:v>
                </c:pt>
                <c:pt idx="6">
                  <c:v>5.6899999999999995</c:v>
                </c:pt>
                <c:pt idx="7">
                  <c:v>5.25</c:v>
                </c:pt>
                <c:pt idx="8">
                  <c:v>20.350000000000001</c:v>
                </c:pt>
                <c:pt idx="9">
                  <c:v>5.37</c:v>
                </c:pt>
                <c:pt idx="10">
                  <c:v>6.1899999999999995</c:v>
                </c:pt>
                <c:pt idx="11">
                  <c:v>24.36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280082048"/>
        <c:axId val="-1280080416"/>
      </c:barChart>
      <c:catAx>
        <c:axId val="-1280082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1280080416"/>
        <c:crosses val="autoZero"/>
        <c:auto val="0"/>
        <c:lblAlgn val="ctr"/>
        <c:lblOffset val="100"/>
        <c:noMultiLvlLbl val="0"/>
      </c:catAx>
      <c:valAx>
        <c:axId val="-128008041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28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1280082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79374506265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588851802025415E-2"/>
                  <c:y val="3.1637865954991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34477865201E-2"/>
                  <c:y val="3.1071111775551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441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75837974928151E-2"/>
                  <c:y val="3.635301739173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559645750294722E-2"/>
                  <c:y val="-3.3900034883141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965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091563502962521E-2"/>
                  <c:y val="-3.9129512261248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5438327017138527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25831106154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09781200292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05682622812E-2"/>
                  <c:y val="4.002697610107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188763957210899E-2"/>
                  <c:y val="-3.0422916666666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2987743006094987E-2"/>
                  <c:y val="3.383817552852837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-0,2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5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'M-1'!$B$14:$B$33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'M-1'!$C$14:$C$33</c:f>
              <c:numCache>
                <c:formatCode>0.0</c:formatCode>
                <c:ptCount val="20"/>
                <c:pt idx="0">
                  <c:v>0.40000000000000568</c:v>
                </c:pt>
                <c:pt idx="1">
                  <c:v>0.29999999999999716</c:v>
                </c:pt>
                <c:pt idx="2">
                  <c:v>-9.9999999999994316E-2</c:v>
                </c:pt>
                <c:pt idx="3">
                  <c:v>0.29999999999999716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-9.9999999999994316E-2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0.29999999999999716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80079872"/>
        <c:axId val="-1280090752"/>
      </c:lineChart>
      <c:dateAx>
        <c:axId val="-128007987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80090752"/>
        <c:crossesAt val="0"/>
        <c:auto val="0"/>
        <c:lblOffset val="100"/>
        <c:baseTimeUnit val="days"/>
      </c:dateAx>
      <c:valAx>
        <c:axId val="-1280090752"/>
        <c:scaling>
          <c:orientation val="minMax"/>
          <c:max val="0.60000000000000064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8007987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852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29509488792E-2"/>
                  <c:y val="-2.5375967836694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3923E-2"/>
                  <c:y val="-3.9890996379663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0203485616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769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328108265991594E-2"/>
                  <c:y val="3.6495356524476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690438818706632E-2"/>
                  <c:y val="2.818212934057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776944796025E-2"/>
                  <c:y val="-4.496300960176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38107292376602E-2"/>
                  <c:y val="3.204627734928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5188861615126701E-2"/>
                  <c:y val="-3.7731136096030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722324992697778E-2"/>
                  <c:y val="-3.621005824020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9123989412400785E-2"/>
                  <c:y val="-3.7162905476263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057443286935E-2"/>
                  <c:y val="-3.9268455847631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0401799210022004E-2"/>
                  <c:y val="-2.4462201512022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95E-2"/>
                  <c:y val="2.3658242201870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6011E-2"/>
                  <c:y val="-3.3211373096366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14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(+FE)'!$B$14:$B$33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'M-12 (+FE)'!$C$14:$C$33</c:f>
              <c:numCache>
                <c:formatCode>0.0</c:formatCode>
                <c:ptCount val="20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58348192"/>
        <c:axId val="-1258346016"/>
      </c:lineChart>
      <c:dateAx>
        <c:axId val="-125834819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58346016"/>
        <c:crossesAt val="0"/>
        <c:auto val="0"/>
        <c:lblOffset val="100"/>
        <c:baseTimeUnit val="days"/>
      </c:dateAx>
      <c:valAx>
        <c:axId val="-125834601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25834819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274837019485E-2"/>
          <c:y val="5.2791894232708608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m-12'!$B$15:$B$34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m-12'!$C$15:$C$34</c:f>
              <c:numCache>
                <c:formatCode>0.0</c:formatCode>
                <c:ptCount val="20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m-12'!$B$15:$B$34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m-12'!$E$15:$E$33</c:f>
              <c:numCache>
                <c:formatCode>0.0</c:formatCode>
                <c:ptCount val="19"/>
                <c:pt idx="0">
                  <c:v>1.4</c:v>
                </c:pt>
                <c:pt idx="1">
                  <c:v>1.9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</c:v>
                </c:pt>
                <c:pt idx="14">
                  <c:v>0.7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  <c:pt idx="18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58344384"/>
        <c:axId val="-1258344928"/>
      </c:lineChart>
      <c:catAx>
        <c:axId val="-1258344384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2583449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125834492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258344384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2659"/>
          <c:y val="0.11355818322048254"/>
          <c:w val="0.11602738896666101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0.58512</cdr:x>
      <cdr:y>0.8665</cdr:y>
    </cdr:from>
    <cdr:to>
      <cdr:x>0.58544</cdr:x>
      <cdr:y>0.94618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990259" y="2205251"/>
          <a:ext cx="1636" cy="20278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0.92418</cdr:y>
    </cdr:from>
    <cdr:to>
      <cdr:x>0.58495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122" y="2352047"/>
          <a:ext cx="2632264" cy="1929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0.58495</cdr:x>
      <cdr:y>0.92407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89385" y="2351767"/>
          <a:ext cx="1787335" cy="1932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0.93172</cdr:y>
    </cdr:from>
    <cdr:to>
      <cdr:x>0.67439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2668" y="2449287"/>
          <a:ext cx="3099177" cy="179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0.67311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55277" y="2460439"/>
          <a:ext cx="1342778" cy="168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0.58319</cdr:x>
      <cdr:y>0.86417</cdr:y>
    </cdr:from>
    <cdr:to>
      <cdr:x>0.58354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3003001" y="2291463"/>
          <a:ext cx="1802" cy="2252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0.38298</cdr:x>
      <cdr:y>0.14906</cdr:y>
    </cdr:from>
    <cdr:to>
      <cdr:x>0.63602</cdr:x>
      <cdr:y>0.29427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66772" y="378784"/>
          <a:ext cx="1299487" cy="369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0.28814</cdr:x>
      <cdr:y>0.26671</cdr:y>
    </cdr:from>
    <cdr:to>
      <cdr:x>0.41782</cdr:x>
      <cdr:y>0.54885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472711" y="688185"/>
          <a:ext cx="662797" cy="7280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0.67584</cdr:x>
      <cdr:y>0.90435</cdr:y>
    </cdr:from>
    <cdr:to>
      <cdr:x>0.9321</cdr:x>
      <cdr:y>0.97351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458766" y="2399301"/>
          <a:ext cx="1311501" cy="183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0.06613</cdr:x>
      <cdr:y>0.90427</cdr:y>
    </cdr:from>
    <cdr:to>
      <cdr:x>0.67584</cdr:x>
      <cdr:y>0.97732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38438" y="2399089"/>
          <a:ext cx="3120328" cy="193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0.58293</cdr:x>
      <cdr:y>0.85526</cdr:y>
    </cdr:from>
    <cdr:to>
      <cdr:x>0.58319</cdr:x>
      <cdr:y>0.93211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994382" y="2169018"/>
          <a:ext cx="1336" cy="19489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416BB-6576-4BDA-B113-AA733C9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3</cp:revision>
  <cp:lastPrinted>2018-09-12T11:35:00Z</cp:lastPrinted>
  <dcterms:created xsi:type="dcterms:W3CDTF">2018-09-13T07:29:00Z</dcterms:created>
  <dcterms:modified xsi:type="dcterms:W3CDTF">2018-09-13T07:29:00Z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