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23" w:rsidRDefault="00685123" w:rsidP="00685123">
      <w:pPr>
        <w:pStyle w:val="tytuinformacji"/>
      </w:pPr>
      <w:r w:rsidRPr="000846A2">
        <w:t>Wskaźniki cen towarów i usług konsumpcyjnych</w:t>
      </w:r>
      <w:r>
        <w:t xml:space="preserve"> w </w:t>
      </w:r>
      <w:r w:rsidR="0026302B">
        <w:t>marcu</w:t>
      </w:r>
      <w:r w:rsidR="00EE696D">
        <w:t xml:space="preserve"> 2018 r.</w:t>
      </w:r>
    </w:p>
    <w:p w:rsidR="00AD4947" w:rsidRPr="00001C5B" w:rsidRDefault="00AD4947" w:rsidP="00AD4947">
      <w:pPr>
        <w:pStyle w:val="tytuinformacji"/>
        <w:rPr>
          <w:sz w:val="32"/>
        </w:rPr>
      </w:pPr>
    </w:p>
    <w:p w:rsidR="00D538E4" w:rsidRDefault="005D1C04" w:rsidP="00CF08EF">
      <w:pPr>
        <w:pStyle w:val="LID"/>
      </w:pPr>
      <w:r>
        <w:rPr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4DF83676" wp14:editId="464E3AA3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8800" cy="1045845"/>
                <wp:effectExtent l="0" t="0" r="0" b="19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4584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B23" w:rsidRPr="00D538E4" w:rsidRDefault="00682B23" w:rsidP="00D538E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val="en-GB" w:eastAsia="en-GB"/>
                              </w:rPr>
                              <w:drawing>
                                <wp:inline distT="0" distB="0" distL="0" distR="0" wp14:anchorId="0EA51457" wp14:editId="6E09F6AB">
                                  <wp:extent cx="334645" cy="334645"/>
                                  <wp:effectExtent l="19050" t="0" r="8255" b="0"/>
                                  <wp:docPr id="9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3464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38E4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0</w:t>
                            </w:r>
                            <w:r w:rsidRPr="00D538E4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1%</w:t>
                            </w:r>
                          </w:p>
                          <w:p w:rsidR="00682B23" w:rsidRPr="00D538E4" w:rsidRDefault="00682B23" w:rsidP="00D538E4">
                            <w:pPr>
                              <w:pStyle w:val="tekstnaniebieskimtle"/>
                            </w:pPr>
                            <w:r>
                              <w:t xml:space="preserve">spadek </w:t>
                            </w:r>
                            <w:r w:rsidRPr="00D538E4">
                              <w:t>w po</w:t>
                            </w:r>
                            <w:r>
                              <w:t xml:space="preserve">równaniu </w:t>
                            </w:r>
                            <w:r>
                              <w:br/>
                              <w:t>z poprzednim miesiącem</w:t>
                            </w:r>
                          </w:p>
                          <w:p w:rsidR="00682B23" w:rsidRPr="00D538E4" w:rsidRDefault="00682B23" w:rsidP="00D538E4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55pt;width:2in;height:82.35pt;z-index:2517729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xJ6KAIAACM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" fillcolor="#001d77" stroked="f">
                <v:textbox>
                  <w:txbxContent>
                    <w:p w:rsidR="00682B23" w:rsidRPr="00D538E4" w:rsidRDefault="00682B23" w:rsidP="00D538E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>
                            <wp:extent cx="334645" cy="334645"/>
                            <wp:effectExtent l="19050" t="0" r="8255" b="0"/>
                            <wp:docPr id="9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3464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38E4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0</w:t>
                      </w:r>
                      <w:r w:rsidRPr="00D538E4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1%</w:t>
                      </w:r>
                    </w:p>
                    <w:p w:rsidR="00682B23" w:rsidRPr="00D538E4" w:rsidRDefault="00682B23" w:rsidP="00D538E4">
                      <w:pPr>
                        <w:pStyle w:val="tekstnaniebieskimtle"/>
                      </w:pPr>
                      <w:r>
                        <w:t xml:space="preserve">spadek </w:t>
                      </w:r>
                      <w:r w:rsidRPr="00D538E4">
                        <w:t>w po</w:t>
                      </w:r>
                      <w:r>
                        <w:t xml:space="preserve">równaniu </w:t>
                      </w:r>
                      <w:r>
                        <w:br/>
                        <w:t>z poprzednim miesiącem</w:t>
                      </w:r>
                    </w:p>
                    <w:p w:rsidR="00682B23" w:rsidRPr="00D538E4" w:rsidRDefault="00682B23" w:rsidP="00D538E4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38E4" w:rsidRPr="00D538E4">
        <w:t xml:space="preserve">Ceny towarów i usług konsumpcyjnych w </w:t>
      </w:r>
      <w:r w:rsidR="000800B4">
        <w:t>marcu</w:t>
      </w:r>
      <w:r w:rsidR="00D538E4" w:rsidRPr="00D538E4">
        <w:t xml:space="preserve"> 201</w:t>
      </w:r>
      <w:r w:rsidR="009C5407">
        <w:t>8</w:t>
      </w:r>
      <w:r w:rsidR="00D538E4" w:rsidRPr="00D538E4">
        <w:t> r., w stosunku do poprzedniego miesiąca</w:t>
      </w:r>
      <w:r w:rsidR="005A2784">
        <w:t>,</w:t>
      </w:r>
      <w:r w:rsidR="00D538E4" w:rsidRPr="00D538E4">
        <w:t xml:space="preserve"> </w:t>
      </w:r>
      <w:r w:rsidR="006D6B72">
        <w:t xml:space="preserve">obniżyły się </w:t>
      </w:r>
      <w:r w:rsidR="006D6B72" w:rsidRPr="006D6B72">
        <w:t>o </w:t>
      </w:r>
      <w:r w:rsidR="00D538E4" w:rsidRPr="006D6B72">
        <w:t>0,</w:t>
      </w:r>
      <w:r w:rsidR="000800B4">
        <w:t>1</w:t>
      </w:r>
      <w:r w:rsidR="00D538E4" w:rsidRPr="006D6B72">
        <w:t xml:space="preserve">% (w tym towarów </w:t>
      </w:r>
      <w:r w:rsidR="000800B4">
        <w:t>oraz usług</w:t>
      </w:r>
      <w:r w:rsidR="00D538E4" w:rsidRPr="006D6B72">
        <w:t xml:space="preserve"> o 0,</w:t>
      </w:r>
      <w:r w:rsidR="000800B4">
        <w:t>1</w:t>
      </w:r>
      <w:r w:rsidR="00D538E4" w:rsidRPr="006D6B72">
        <w:t>%)</w:t>
      </w:r>
      <w:r w:rsidR="006D6B72">
        <w:t xml:space="preserve">. </w:t>
      </w:r>
      <w:r w:rsidR="00917CCF">
        <w:br/>
      </w:r>
      <w:r w:rsidR="006D6B72">
        <w:t>W porównaniu z </w:t>
      </w:r>
      <w:r w:rsidR="00D538E4" w:rsidRPr="006D6B72">
        <w:t>analo</w:t>
      </w:r>
      <w:r w:rsidR="00D538E4" w:rsidRPr="006D6B72">
        <w:softHyphen/>
        <w:t xml:space="preserve">gicznym miesiącem ub. roku, </w:t>
      </w:r>
      <w:r w:rsidR="00917CCF">
        <w:br/>
      </w:r>
      <w:r w:rsidR="006D6B72" w:rsidRPr="006D6B72">
        <w:t xml:space="preserve">ceny towarów i usług konsumpcyjnych </w:t>
      </w:r>
      <w:r w:rsidR="00D538E4" w:rsidRPr="006D6B72">
        <w:t>wzros</w:t>
      </w:r>
      <w:r w:rsidR="006D6B72" w:rsidRPr="006D6B72">
        <w:t>ły</w:t>
      </w:r>
      <w:r w:rsidR="00D538E4" w:rsidRPr="006D6B72">
        <w:t xml:space="preserve"> </w:t>
      </w:r>
      <w:r w:rsidR="00917CCF">
        <w:br/>
      </w:r>
      <w:r w:rsidR="006D6B72" w:rsidRPr="006D6B72">
        <w:t>o</w:t>
      </w:r>
      <w:r w:rsidR="00D538E4" w:rsidRPr="006D6B72">
        <w:t xml:space="preserve"> </w:t>
      </w:r>
      <w:r w:rsidR="006D6B72" w:rsidRPr="006D6B72">
        <w:t>1</w:t>
      </w:r>
      <w:r w:rsidR="00D538E4" w:rsidRPr="006D6B72">
        <w:t>,</w:t>
      </w:r>
      <w:r w:rsidR="000800B4">
        <w:t>3</w:t>
      </w:r>
      <w:r w:rsidR="00D538E4" w:rsidRPr="006D6B72">
        <w:t xml:space="preserve">% (w tym </w:t>
      </w:r>
      <w:r w:rsidR="006D6B72" w:rsidRPr="006D6B72">
        <w:t xml:space="preserve">usług </w:t>
      </w:r>
      <w:r w:rsidR="00D538E4" w:rsidRPr="006D6B72">
        <w:t>–</w:t>
      </w:r>
      <w:r w:rsidR="00B94737">
        <w:t xml:space="preserve"> </w:t>
      </w:r>
      <w:r w:rsidR="00D538E4" w:rsidRPr="006D6B72">
        <w:t>o 2,</w:t>
      </w:r>
      <w:r w:rsidR="000800B4">
        <w:t>0</w:t>
      </w:r>
      <w:r w:rsidR="00D538E4" w:rsidRPr="006D6B72">
        <w:t>% i </w:t>
      </w:r>
      <w:r w:rsidR="006D6B72" w:rsidRPr="006D6B72">
        <w:t>towarów</w:t>
      </w:r>
      <w:r w:rsidR="00D538E4" w:rsidRPr="006D6B72">
        <w:t xml:space="preserve"> – o 1,</w:t>
      </w:r>
      <w:r w:rsidR="000800B4">
        <w:t>1</w:t>
      </w:r>
      <w:r w:rsidR="00D538E4" w:rsidRPr="006D6B72">
        <w:t>%).</w:t>
      </w:r>
      <w:r w:rsidR="000800B4">
        <w:br/>
      </w:r>
    </w:p>
    <w:p w:rsidR="00CF08EF" w:rsidRPr="00D538E4" w:rsidRDefault="00CF08EF" w:rsidP="00CF08EF">
      <w:pPr>
        <w:pStyle w:val="LID"/>
        <w:rPr>
          <w:b w:val="0"/>
          <w:color w:val="212492"/>
          <w:spacing w:val="-2"/>
        </w:rPr>
      </w:pPr>
    </w:p>
    <w:tbl>
      <w:tblPr>
        <w:tblStyle w:val="Siatkatabelijasna11"/>
        <w:tblpPr w:leftFromText="141" w:rightFromText="141" w:vertAnchor="text" w:horzAnchor="margin" w:tblpY="512"/>
        <w:tblW w:w="8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801"/>
        <w:gridCol w:w="878"/>
        <w:gridCol w:w="878"/>
        <w:gridCol w:w="877"/>
        <w:gridCol w:w="877"/>
        <w:gridCol w:w="879"/>
        <w:gridCol w:w="878"/>
      </w:tblGrid>
      <w:tr w:rsidR="005A2784" w:rsidRPr="00FA5128" w:rsidTr="005A2784">
        <w:trPr>
          <w:cantSplit/>
          <w:trHeight w:val="367"/>
        </w:trPr>
        <w:tc>
          <w:tcPr>
            <w:tcW w:w="2801" w:type="dxa"/>
            <w:vMerge w:val="restart"/>
            <w:vAlign w:val="center"/>
          </w:tcPr>
          <w:p w:rsidR="005A2784" w:rsidRPr="009C7251" w:rsidRDefault="005A2784" w:rsidP="005A2784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6"/>
              </w:rPr>
            </w:pPr>
            <w:r w:rsidRPr="009C7251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2633" w:type="dxa"/>
            <w:gridSpan w:val="3"/>
            <w:vAlign w:val="center"/>
          </w:tcPr>
          <w:p w:rsidR="005A2784" w:rsidRPr="00FA5128" w:rsidRDefault="005A2784" w:rsidP="005A2784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III</w:t>
            </w:r>
            <w:r w:rsidRPr="00FA5128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 201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756" w:type="dxa"/>
            <w:gridSpan w:val="2"/>
            <w:vAlign w:val="center"/>
          </w:tcPr>
          <w:p w:rsidR="005A2784" w:rsidRDefault="005A2784" w:rsidP="005A2784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I-III 2018</w:t>
            </w:r>
          </w:p>
        </w:tc>
        <w:tc>
          <w:tcPr>
            <w:tcW w:w="878" w:type="dxa"/>
            <w:vMerge w:val="restart"/>
            <w:vAlign w:val="center"/>
          </w:tcPr>
          <w:p w:rsidR="005A2784" w:rsidRPr="00493217" w:rsidRDefault="005A2784" w:rsidP="005A2784">
            <w:pPr>
              <w:pStyle w:val="Nagwek1"/>
              <w:tabs>
                <w:tab w:val="right" w:leader="dot" w:pos="4139"/>
              </w:tabs>
              <w:spacing w:before="120" w:line="240" w:lineRule="exact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493217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WPŁYW ZMIAN</w:t>
            </w:r>
          </w:p>
          <w:p w:rsidR="005A2784" w:rsidRPr="000800B4" w:rsidRDefault="005A2784" w:rsidP="005A2784">
            <w:pPr>
              <w:pStyle w:val="Nagwek1"/>
              <w:tabs>
                <w:tab w:val="right" w:leader="dot" w:pos="4139"/>
              </w:tabs>
              <w:spacing w:before="120" w:line="240" w:lineRule="exact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493217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II 2018=</w:t>
            </w:r>
            <w:r w:rsidRPr="00493217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br/>
              <w:t>=100</w:t>
            </w:r>
          </w:p>
        </w:tc>
      </w:tr>
      <w:tr w:rsidR="005A2784" w:rsidRPr="00FA5128" w:rsidTr="005A2784">
        <w:trPr>
          <w:cantSplit/>
          <w:trHeight w:val="57"/>
        </w:trPr>
        <w:tc>
          <w:tcPr>
            <w:tcW w:w="2801" w:type="dxa"/>
            <w:vMerge/>
            <w:tcBorders>
              <w:bottom w:val="single" w:sz="12" w:space="0" w:color="212492"/>
            </w:tcBorders>
            <w:vAlign w:val="center"/>
          </w:tcPr>
          <w:p w:rsidR="005A2784" w:rsidRPr="00FA5128" w:rsidRDefault="005A2784" w:rsidP="005A2784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8" w:type="dxa"/>
            <w:tcBorders>
              <w:bottom w:val="single" w:sz="12" w:space="0" w:color="212492"/>
            </w:tcBorders>
            <w:vAlign w:val="center"/>
          </w:tcPr>
          <w:p w:rsidR="005A2784" w:rsidRPr="00A37CE0" w:rsidRDefault="005A2784" w:rsidP="005A2784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III 2017=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=</w:t>
            </w:r>
            <w:r w:rsidRPr="00A37CE0">
              <w:rPr>
                <w:rFonts w:ascii="Fira Sans" w:hAnsi="Fira Sans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78" w:type="dxa"/>
            <w:tcBorders>
              <w:bottom w:val="single" w:sz="12" w:space="0" w:color="212492"/>
            </w:tcBorders>
            <w:vAlign w:val="center"/>
          </w:tcPr>
          <w:p w:rsidR="005A2784" w:rsidRPr="00A37CE0" w:rsidRDefault="005A2784" w:rsidP="005A2784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XII 2017=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=</w:t>
            </w:r>
            <w:r w:rsidRPr="00A37CE0">
              <w:rPr>
                <w:rFonts w:ascii="Fira Sans" w:hAnsi="Fira Sans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77" w:type="dxa"/>
            <w:tcBorders>
              <w:bottom w:val="single" w:sz="12" w:space="0" w:color="212492"/>
            </w:tcBorders>
            <w:vAlign w:val="center"/>
          </w:tcPr>
          <w:p w:rsidR="005A2784" w:rsidRPr="00A37CE0" w:rsidRDefault="005A2784" w:rsidP="005A2784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II 2018=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=</w:t>
            </w:r>
            <w:r w:rsidRPr="00A37CE0">
              <w:rPr>
                <w:rFonts w:ascii="Fira Sans" w:hAnsi="Fira Sans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77" w:type="dxa"/>
            <w:tcBorders>
              <w:bottom w:val="single" w:sz="12" w:space="0" w:color="212492"/>
            </w:tcBorders>
            <w:vAlign w:val="center"/>
          </w:tcPr>
          <w:p w:rsidR="005A2784" w:rsidRPr="00A37CE0" w:rsidRDefault="005A2784" w:rsidP="005A2784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A37CE0">
              <w:rPr>
                <w:rFonts w:ascii="Fira Sans" w:hAnsi="Fira Sans"/>
                <w:color w:val="000000" w:themeColor="text1"/>
                <w:sz w:val="16"/>
                <w:szCs w:val="16"/>
              </w:rPr>
              <w:t>I-I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I</w:t>
            </w:r>
            <w:r w:rsidRPr="00A37CE0">
              <w:rPr>
                <w:rFonts w:ascii="Fira Sans" w:hAnsi="Fira Sans"/>
                <w:color w:val="000000" w:themeColor="text1"/>
                <w:sz w:val="16"/>
                <w:szCs w:val="16"/>
              </w:rPr>
              <w:t>I 201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7=</w:t>
            </w:r>
            <w:r w:rsidRPr="00A37CE0">
              <w:rPr>
                <w:rFonts w:ascii="Fira Sans" w:hAnsi="Fira Sans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79" w:type="dxa"/>
            <w:tcBorders>
              <w:bottom w:val="single" w:sz="12" w:space="0" w:color="212492"/>
            </w:tcBorders>
            <w:vAlign w:val="center"/>
          </w:tcPr>
          <w:p w:rsidR="005A2784" w:rsidRPr="00A37CE0" w:rsidRDefault="005A2784" w:rsidP="005A2784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X-XII</w:t>
            </w:r>
            <w:r w:rsidRPr="00A37CE0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 201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7=</w:t>
            </w:r>
            <w:r w:rsidRPr="00A37CE0">
              <w:rPr>
                <w:rFonts w:ascii="Fira Sans" w:hAnsi="Fira Sans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78" w:type="dxa"/>
            <w:vMerge/>
            <w:tcBorders>
              <w:bottom w:val="single" w:sz="12" w:space="0" w:color="212492"/>
            </w:tcBorders>
            <w:vAlign w:val="center"/>
          </w:tcPr>
          <w:p w:rsidR="005A2784" w:rsidRPr="00A37CE0" w:rsidRDefault="005A2784" w:rsidP="005A2784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</w:tr>
      <w:tr w:rsidR="00971217" w:rsidRPr="00FA5128" w:rsidTr="005A2784">
        <w:trPr>
          <w:cantSplit/>
          <w:trHeight w:val="57"/>
        </w:trPr>
        <w:tc>
          <w:tcPr>
            <w:tcW w:w="2801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971217" w:rsidRPr="00FA5128" w:rsidRDefault="00971217" w:rsidP="00971217">
            <w:pPr>
              <w:pStyle w:val="Nagwek5"/>
              <w:tabs>
                <w:tab w:val="right" w:leader="dot" w:pos="4156"/>
              </w:tabs>
              <w:spacing w:before="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 w:rsidRPr="00FA5128"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878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971217" w:rsidRPr="003D3B24" w:rsidRDefault="00971217" w:rsidP="00971217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3D3B24">
              <w:rPr>
                <w:rFonts w:cs="Arial"/>
                <w:b/>
                <w:color w:val="000000" w:themeColor="text1"/>
                <w:sz w:val="16"/>
                <w:szCs w:val="16"/>
              </w:rPr>
              <w:t>101,3</w:t>
            </w:r>
          </w:p>
        </w:tc>
        <w:tc>
          <w:tcPr>
            <w:tcW w:w="878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971217" w:rsidRPr="003D3B24" w:rsidRDefault="00971217" w:rsidP="00971217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3D3B24">
              <w:rPr>
                <w:rFonts w:cs="Arial"/>
                <w:b/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877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971217" w:rsidRPr="003D3B24" w:rsidRDefault="00971217" w:rsidP="00971217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3D3B24">
              <w:rPr>
                <w:rFonts w:cs="Arial"/>
                <w:b/>
                <w:color w:val="000000" w:themeColor="text1"/>
                <w:sz w:val="16"/>
                <w:szCs w:val="16"/>
              </w:rPr>
              <w:t>99,9</w:t>
            </w:r>
          </w:p>
        </w:tc>
        <w:tc>
          <w:tcPr>
            <w:tcW w:w="877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971217" w:rsidRPr="003D3B24" w:rsidRDefault="00971217" w:rsidP="00971217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3D3B24">
              <w:rPr>
                <w:rFonts w:cs="Arial"/>
                <w:b/>
                <w:color w:val="000000" w:themeColor="text1"/>
                <w:sz w:val="16"/>
                <w:szCs w:val="16"/>
              </w:rPr>
              <w:t>101,5</w:t>
            </w:r>
          </w:p>
        </w:tc>
        <w:tc>
          <w:tcPr>
            <w:tcW w:w="879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971217" w:rsidRPr="003D3B24" w:rsidRDefault="00971217" w:rsidP="00971217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3D3B24">
              <w:rPr>
                <w:rFonts w:cs="Arial"/>
                <w:b/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878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971217" w:rsidRPr="003D3B24" w:rsidRDefault="00971217" w:rsidP="00971217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x</w:t>
            </w:r>
          </w:p>
        </w:tc>
      </w:tr>
      <w:tr w:rsidR="00971217" w:rsidRPr="00FA5128" w:rsidTr="005A2784">
        <w:trPr>
          <w:cantSplit/>
          <w:trHeight w:val="57"/>
        </w:trPr>
        <w:tc>
          <w:tcPr>
            <w:tcW w:w="280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971217" w:rsidRPr="008C7A01" w:rsidRDefault="00971217" w:rsidP="00971217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8C7A01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 xml:space="preserve">Żywność i napoje </w:t>
            </w:r>
            <w:r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br/>
            </w:r>
            <w:r w:rsidRPr="008C7A01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 xml:space="preserve">bezalkoholowe  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103,7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99,9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103,9</w:t>
            </w:r>
          </w:p>
        </w:tc>
        <w:tc>
          <w:tcPr>
            <w:tcW w:w="879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101,6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971217" w:rsidRPr="003D3B2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D3B24">
              <w:rPr>
                <w:rFonts w:cs="Arial"/>
                <w:color w:val="000000" w:themeColor="text1"/>
                <w:sz w:val="16"/>
                <w:szCs w:val="16"/>
              </w:rPr>
              <w:t>-0,02</w:t>
            </w:r>
          </w:p>
        </w:tc>
      </w:tr>
      <w:tr w:rsidR="00971217" w:rsidRPr="00296068" w:rsidTr="005A2784">
        <w:trPr>
          <w:cantSplit/>
          <w:trHeight w:val="57"/>
        </w:trPr>
        <w:tc>
          <w:tcPr>
            <w:tcW w:w="280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971217" w:rsidRPr="006761A7" w:rsidRDefault="00971217" w:rsidP="00971217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A37CE0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 xml:space="preserve">Napoje alkoholowe </w:t>
            </w:r>
            <w:r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br/>
            </w:r>
            <w:r w:rsidRPr="00A37CE0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i wyroby tytoniowe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100,9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100,8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101,1</w:t>
            </w:r>
          </w:p>
        </w:tc>
        <w:tc>
          <w:tcPr>
            <w:tcW w:w="879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971217" w:rsidRPr="003D3B2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D3B24">
              <w:rPr>
                <w:rFonts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71217" w:rsidRPr="00296068" w:rsidTr="005A2784">
        <w:trPr>
          <w:cantSplit/>
          <w:trHeight w:val="57"/>
        </w:trPr>
        <w:tc>
          <w:tcPr>
            <w:tcW w:w="280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971217" w:rsidRPr="00296068" w:rsidRDefault="00971217" w:rsidP="00971217">
            <w:pPr>
              <w:tabs>
                <w:tab w:val="right" w:leader="dot" w:pos="4156"/>
              </w:tabs>
              <w:contextualSpacing/>
              <w:rPr>
                <w:color w:val="000000" w:themeColor="text1"/>
                <w:sz w:val="16"/>
                <w:szCs w:val="16"/>
                <w:lang w:val="en-US"/>
              </w:rPr>
            </w:pPr>
            <w:r w:rsidRPr="00A37CE0">
              <w:rPr>
                <w:rFonts w:cstheme="majorBidi"/>
                <w:bCs/>
                <w:color w:val="000000" w:themeColor="text1"/>
                <w:sz w:val="16"/>
                <w:szCs w:val="16"/>
              </w:rPr>
              <w:t>Odzież i obuwie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96,3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96,9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102,3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95,9</w:t>
            </w:r>
          </w:p>
        </w:tc>
        <w:tc>
          <w:tcPr>
            <w:tcW w:w="879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94,9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971217" w:rsidRPr="003D3B2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D3B24">
              <w:rPr>
                <w:rFonts w:cs="Arial"/>
                <w:color w:val="000000" w:themeColor="text1"/>
                <w:sz w:val="16"/>
                <w:szCs w:val="16"/>
              </w:rPr>
              <w:t>0,11</w:t>
            </w:r>
          </w:p>
        </w:tc>
      </w:tr>
      <w:tr w:rsidR="00971217" w:rsidRPr="00FA5128" w:rsidTr="005A2784">
        <w:trPr>
          <w:cantSplit/>
          <w:trHeight w:val="57"/>
        </w:trPr>
        <w:tc>
          <w:tcPr>
            <w:tcW w:w="280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971217" w:rsidRPr="00A37CE0" w:rsidRDefault="00971217" w:rsidP="00971217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A37CE0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Użytkowanie mieszkania 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</w:r>
            <w:r w:rsidRPr="00A37CE0">
              <w:rPr>
                <w:rFonts w:ascii="Fira Sans" w:hAnsi="Fira Sans"/>
                <w:color w:val="000000" w:themeColor="text1"/>
                <w:sz w:val="16"/>
                <w:szCs w:val="16"/>
              </w:rPr>
              <w:t>lub domu i nośniki energii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102,0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99,8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102,1</w:t>
            </w:r>
          </w:p>
        </w:tc>
        <w:tc>
          <w:tcPr>
            <w:tcW w:w="879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971217" w:rsidRPr="003D3B2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D3B24">
              <w:rPr>
                <w:rFonts w:cs="Arial"/>
                <w:color w:val="000000" w:themeColor="text1"/>
                <w:sz w:val="16"/>
                <w:szCs w:val="16"/>
              </w:rPr>
              <w:t>-0,03</w:t>
            </w:r>
          </w:p>
        </w:tc>
      </w:tr>
      <w:tr w:rsidR="00971217" w:rsidRPr="00FA5128" w:rsidTr="005A2784">
        <w:trPr>
          <w:cantSplit/>
          <w:trHeight w:val="57"/>
        </w:trPr>
        <w:tc>
          <w:tcPr>
            <w:tcW w:w="280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971217" w:rsidRPr="00A37CE0" w:rsidRDefault="00971217" w:rsidP="0097121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ajorBidi"/>
                <w:bCs/>
                <w:color w:val="000000" w:themeColor="text1"/>
                <w:sz w:val="16"/>
                <w:szCs w:val="16"/>
              </w:rPr>
              <w:t>Wyposażenie mieszkania i </w:t>
            </w:r>
            <w:proofErr w:type="spellStart"/>
            <w:r w:rsidRPr="00A37CE0">
              <w:rPr>
                <w:rFonts w:cstheme="majorBidi"/>
                <w:bCs/>
                <w:color w:val="000000" w:themeColor="text1"/>
                <w:sz w:val="16"/>
                <w:szCs w:val="16"/>
              </w:rPr>
              <w:t>prowa</w:t>
            </w:r>
            <w:r>
              <w:rPr>
                <w:rFonts w:cstheme="majorBidi"/>
                <w:bCs/>
                <w:color w:val="000000" w:themeColor="text1"/>
                <w:sz w:val="16"/>
                <w:szCs w:val="16"/>
              </w:rPr>
              <w:t>-</w:t>
            </w:r>
            <w:r w:rsidRPr="00A37CE0">
              <w:rPr>
                <w:rFonts w:cstheme="majorBidi"/>
                <w:bCs/>
                <w:color w:val="000000" w:themeColor="text1"/>
                <w:sz w:val="16"/>
                <w:szCs w:val="16"/>
              </w:rPr>
              <w:t>dzenie</w:t>
            </w:r>
            <w:proofErr w:type="spellEnd"/>
            <w:r w:rsidRPr="00A37CE0">
              <w:rPr>
                <w:rFonts w:cstheme="majorBidi"/>
                <w:bCs/>
                <w:color w:val="000000" w:themeColor="text1"/>
                <w:sz w:val="16"/>
                <w:szCs w:val="16"/>
              </w:rPr>
              <w:t xml:space="preserve"> gospodarstwa domowego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99,6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879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971217" w:rsidRPr="003D3B2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D3B24">
              <w:rPr>
                <w:rFonts w:cs="Arial"/>
                <w:color w:val="000000" w:themeColor="text1"/>
                <w:sz w:val="16"/>
                <w:szCs w:val="16"/>
              </w:rPr>
              <w:t>-0,02</w:t>
            </w:r>
          </w:p>
        </w:tc>
      </w:tr>
      <w:tr w:rsidR="00971217" w:rsidRPr="00FA5128" w:rsidTr="005A2784">
        <w:trPr>
          <w:cantSplit/>
          <w:trHeight w:val="57"/>
        </w:trPr>
        <w:tc>
          <w:tcPr>
            <w:tcW w:w="280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971217" w:rsidRPr="00A37CE0" w:rsidRDefault="00971217" w:rsidP="0097121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37CE0">
              <w:rPr>
                <w:rFonts w:cstheme="majorBidi"/>
                <w:bCs/>
                <w:color w:val="000000" w:themeColor="text1"/>
                <w:sz w:val="16"/>
                <w:szCs w:val="16"/>
              </w:rPr>
              <w:t xml:space="preserve">Zdrowie 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101,4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100,6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99,9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101,7</w:t>
            </w:r>
          </w:p>
        </w:tc>
        <w:tc>
          <w:tcPr>
            <w:tcW w:w="879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971217" w:rsidRPr="003D3B2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D3B24">
              <w:rPr>
                <w:rFonts w:cs="Arial"/>
                <w:color w:val="000000" w:themeColor="text1"/>
                <w:sz w:val="16"/>
                <w:szCs w:val="16"/>
              </w:rPr>
              <w:t>-0,01</w:t>
            </w:r>
          </w:p>
        </w:tc>
      </w:tr>
      <w:tr w:rsidR="00971217" w:rsidRPr="00FA5128" w:rsidTr="005A2784">
        <w:trPr>
          <w:cantSplit/>
          <w:trHeight w:val="57"/>
        </w:trPr>
        <w:tc>
          <w:tcPr>
            <w:tcW w:w="280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971217" w:rsidRPr="00A37CE0" w:rsidRDefault="00971217" w:rsidP="0097121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37CE0">
              <w:rPr>
                <w:rFonts w:cstheme="majorBidi"/>
                <w:bCs/>
                <w:color w:val="000000" w:themeColor="text1"/>
                <w:sz w:val="16"/>
                <w:szCs w:val="16"/>
              </w:rPr>
              <w:t>Transport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98,1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98,1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99,3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98,3</w:t>
            </w:r>
          </w:p>
        </w:tc>
        <w:tc>
          <w:tcPr>
            <w:tcW w:w="879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99,7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971217" w:rsidRPr="003D3B2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D3B24">
              <w:rPr>
                <w:rFonts w:cs="Arial"/>
                <w:color w:val="000000" w:themeColor="text1"/>
                <w:sz w:val="16"/>
                <w:szCs w:val="16"/>
              </w:rPr>
              <w:t>-0,06</w:t>
            </w:r>
          </w:p>
        </w:tc>
      </w:tr>
      <w:tr w:rsidR="00971217" w:rsidRPr="00FA5128" w:rsidTr="005A2784">
        <w:trPr>
          <w:cantSplit/>
          <w:trHeight w:val="57"/>
        </w:trPr>
        <w:tc>
          <w:tcPr>
            <w:tcW w:w="280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971217" w:rsidRPr="00A37CE0" w:rsidRDefault="00971217" w:rsidP="0097121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37CE0">
              <w:rPr>
                <w:rFonts w:cstheme="majorBidi"/>
                <w:bCs/>
                <w:color w:val="000000" w:themeColor="text1"/>
                <w:sz w:val="16"/>
                <w:szCs w:val="16"/>
              </w:rPr>
              <w:t>Łączność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100,6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98,8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101,1</w:t>
            </w:r>
          </w:p>
        </w:tc>
        <w:tc>
          <w:tcPr>
            <w:tcW w:w="879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99,2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971217" w:rsidRPr="003D3B2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D3B24">
              <w:rPr>
                <w:rFonts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71217" w:rsidRPr="00FA5128" w:rsidTr="005A2784">
        <w:trPr>
          <w:cantSplit/>
          <w:trHeight w:val="57"/>
        </w:trPr>
        <w:tc>
          <w:tcPr>
            <w:tcW w:w="280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971217" w:rsidRPr="00A37CE0" w:rsidRDefault="00971217" w:rsidP="0097121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37CE0">
              <w:rPr>
                <w:rFonts w:cstheme="majorBidi"/>
                <w:bCs/>
                <w:color w:val="000000" w:themeColor="text1"/>
                <w:sz w:val="16"/>
                <w:szCs w:val="16"/>
              </w:rPr>
              <w:t>Rekreacja i kultura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101,0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99,5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101,7</w:t>
            </w:r>
          </w:p>
        </w:tc>
        <w:tc>
          <w:tcPr>
            <w:tcW w:w="879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101,1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971217" w:rsidRPr="003D3B2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D3B24">
              <w:rPr>
                <w:rFonts w:cs="Arial"/>
                <w:color w:val="000000" w:themeColor="text1"/>
                <w:sz w:val="16"/>
                <w:szCs w:val="16"/>
              </w:rPr>
              <w:t>-0,03</w:t>
            </w:r>
          </w:p>
        </w:tc>
      </w:tr>
      <w:tr w:rsidR="00971217" w:rsidRPr="00FA5128" w:rsidTr="005A2784">
        <w:trPr>
          <w:cantSplit/>
          <w:trHeight w:val="57"/>
        </w:trPr>
        <w:tc>
          <w:tcPr>
            <w:tcW w:w="280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971217" w:rsidRPr="00A37CE0" w:rsidRDefault="00971217" w:rsidP="0097121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37CE0">
              <w:rPr>
                <w:rFonts w:cstheme="majorBidi"/>
                <w:bCs/>
                <w:color w:val="000000" w:themeColor="text1"/>
                <w:sz w:val="16"/>
                <w:szCs w:val="16"/>
              </w:rPr>
              <w:t>Edukacja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102,2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102,1</w:t>
            </w:r>
          </w:p>
        </w:tc>
        <w:tc>
          <w:tcPr>
            <w:tcW w:w="879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971217" w:rsidRPr="003D3B2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D3B24">
              <w:rPr>
                <w:rFonts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71217" w:rsidRPr="00FA5128" w:rsidTr="005A2784">
        <w:trPr>
          <w:cantSplit/>
          <w:trHeight w:val="57"/>
        </w:trPr>
        <w:tc>
          <w:tcPr>
            <w:tcW w:w="280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971217" w:rsidRPr="00A37CE0" w:rsidRDefault="00971217" w:rsidP="0097121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37CE0">
              <w:rPr>
                <w:rFonts w:cstheme="majorBidi"/>
                <w:bCs/>
                <w:color w:val="000000" w:themeColor="text1"/>
                <w:sz w:val="16"/>
                <w:szCs w:val="16"/>
              </w:rPr>
              <w:t>Restauracje i hotele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102,9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102,9</w:t>
            </w:r>
          </w:p>
        </w:tc>
        <w:tc>
          <w:tcPr>
            <w:tcW w:w="879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971217" w:rsidRPr="003D3B2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D3B24">
              <w:rPr>
                <w:rFonts w:cs="Arial"/>
                <w:color w:val="000000" w:themeColor="text1"/>
                <w:sz w:val="16"/>
                <w:szCs w:val="16"/>
              </w:rPr>
              <w:t>0,01</w:t>
            </w:r>
          </w:p>
        </w:tc>
      </w:tr>
      <w:tr w:rsidR="00971217" w:rsidRPr="00FA5128" w:rsidTr="005A2784">
        <w:trPr>
          <w:cantSplit/>
          <w:trHeight w:val="57"/>
        </w:trPr>
        <w:tc>
          <w:tcPr>
            <w:tcW w:w="2801" w:type="dxa"/>
            <w:tcBorders>
              <w:top w:val="single" w:sz="4" w:space="0" w:color="212492"/>
              <w:bottom w:val="nil"/>
            </w:tcBorders>
            <w:vAlign w:val="center"/>
          </w:tcPr>
          <w:p w:rsidR="00971217" w:rsidRPr="00A37CE0" w:rsidRDefault="00971217" w:rsidP="0097121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37CE0">
              <w:rPr>
                <w:rFonts w:cstheme="majorBidi"/>
                <w:bCs/>
                <w:color w:val="000000" w:themeColor="text1"/>
                <w:sz w:val="16"/>
                <w:szCs w:val="16"/>
              </w:rPr>
              <w:t>Inne towary i usługi</w:t>
            </w:r>
          </w:p>
        </w:tc>
        <w:tc>
          <w:tcPr>
            <w:tcW w:w="878" w:type="dxa"/>
            <w:tcBorders>
              <w:top w:val="single" w:sz="4" w:space="0" w:color="212492"/>
              <w:bottom w:val="nil"/>
            </w:tcBorders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99,6</w:t>
            </w:r>
          </w:p>
        </w:tc>
        <w:tc>
          <w:tcPr>
            <w:tcW w:w="878" w:type="dxa"/>
            <w:tcBorders>
              <w:top w:val="single" w:sz="4" w:space="0" w:color="212492"/>
              <w:bottom w:val="nil"/>
            </w:tcBorders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99,6</w:t>
            </w:r>
          </w:p>
        </w:tc>
        <w:tc>
          <w:tcPr>
            <w:tcW w:w="877" w:type="dxa"/>
            <w:tcBorders>
              <w:top w:val="single" w:sz="4" w:space="0" w:color="212492"/>
              <w:bottom w:val="nil"/>
            </w:tcBorders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99,4</w:t>
            </w:r>
          </w:p>
        </w:tc>
        <w:tc>
          <w:tcPr>
            <w:tcW w:w="877" w:type="dxa"/>
            <w:tcBorders>
              <w:top w:val="single" w:sz="4" w:space="0" w:color="212492"/>
              <w:bottom w:val="nil"/>
            </w:tcBorders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99,8</w:t>
            </w:r>
          </w:p>
        </w:tc>
        <w:tc>
          <w:tcPr>
            <w:tcW w:w="879" w:type="dxa"/>
            <w:tcBorders>
              <w:top w:val="single" w:sz="4" w:space="0" w:color="212492"/>
              <w:bottom w:val="nil"/>
            </w:tcBorders>
            <w:vAlign w:val="bottom"/>
          </w:tcPr>
          <w:p w:rsidR="00971217" w:rsidRPr="000800B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800B4">
              <w:rPr>
                <w:rFonts w:cs="Arial"/>
                <w:color w:val="000000" w:themeColor="text1"/>
                <w:sz w:val="16"/>
                <w:szCs w:val="16"/>
              </w:rPr>
              <w:t>99,9</w:t>
            </w:r>
          </w:p>
        </w:tc>
        <w:tc>
          <w:tcPr>
            <w:tcW w:w="878" w:type="dxa"/>
            <w:tcBorders>
              <w:top w:val="single" w:sz="4" w:space="0" w:color="212492"/>
              <w:bottom w:val="nil"/>
            </w:tcBorders>
            <w:vAlign w:val="bottom"/>
          </w:tcPr>
          <w:p w:rsidR="00971217" w:rsidRPr="003D3B24" w:rsidRDefault="00971217" w:rsidP="0097121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D3B24">
              <w:rPr>
                <w:rFonts w:cs="Arial"/>
                <w:color w:val="000000" w:themeColor="text1"/>
                <w:sz w:val="16"/>
                <w:szCs w:val="16"/>
              </w:rPr>
              <w:t>-0,03</w:t>
            </w:r>
          </w:p>
        </w:tc>
      </w:tr>
    </w:tbl>
    <w:p w:rsidR="00AD4947" w:rsidRPr="00AD4947" w:rsidRDefault="00CF08EF" w:rsidP="00D538E4">
      <w:pPr>
        <w:pStyle w:val="tytuwykresu"/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67808" behindDoc="1" locked="0" layoutInCell="1" allowOverlap="1" wp14:anchorId="422C5D06" wp14:editId="3AF998E7">
                <wp:simplePos x="0" y="0"/>
                <wp:positionH relativeFrom="column">
                  <wp:posOffset>5267325</wp:posOffset>
                </wp:positionH>
                <wp:positionV relativeFrom="paragraph">
                  <wp:posOffset>164465</wp:posOffset>
                </wp:positionV>
                <wp:extent cx="1725295" cy="1533525"/>
                <wp:effectExtent l="0" t="0" r="0" b="0"/>
                <wp:wrapTight wrapText="bothSides">
                  <wp:wrapPolygon edited="0">
                    <wp:start x="715" y="0"/>
                    <wp:lineTo x="715" y="21198"/>
                    <wp:lineTo x="20749" y="21198"/>
                    <wp:lineTo x="20749" y="0"/>
                    <wp:lineTo x="715" y="0"/>
                  </wp:wrapPolygon>
                </wp:wrapTight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53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B23" w:rsidRPr="00135B65" w:rsidRDefault="00682B23" w:rsidP="00AD4947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 porównaniu z</w:t>
                            </w:r>
                            <w:r w:rsidRPr="00135B6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poprzednim miesiąc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em, w marcu 2018 r. mniej </w:t>
                            </w:r>
                            <w:r w:rsidRPr="00135B6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płacono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głównie </w:t>
                            </w:r>
                            <w:r w:rsidRPr="0083117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za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br/>
                              <w:t xml:space="preserve">towary i usługi w zakresie transportu </w:t>
                            </w:r>
                            <w:r w:rsidRPr="0083117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(o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0</w:t>
                            </w:r>
                            <w:r w:rsidRPr="0083117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,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7%), rekreacji i kultury </w:t>
                            </w:r>
                            <w:r w:rsidRPr="0083117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(o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0</w:t>
                            </w:r>
                            <w:r w:rsidRPr="0083117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,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5</w:t>
                            </w:r>
                            <w:r w:rsidRPr="0083117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%)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oraz wyp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sażenia mieszkania i prow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a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dzenia gospodarstwa dom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wego (o 0,4%)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7" type="#_x0000_t202" style="position:absolute;margin-left:414.75pt;margin-top:12.95pt;width:135.85pt;height:120.75pt;z-index:-251548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" filled="f" stroked="f">
                <v:textbox>
                  <w:txbxContent>
                    <w:p w:rsidR="00682B23" w:rsidRPr="00135B65" w:rsidRDefault="00682B23" w:rsidP="00AD4947">
                      <w:pPr>
                        <w:rPr>
                          <w:szCs w:val="18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 porównaniu z</w:t>
                      </w:r>
                      <w:r w:rsidRPr="00135B6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poprzednim miesiąc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em, w marcu 2018 r. mniej </w:t>
                      </w:r>
                      <w:r w:rsidRPr="00135B6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płacono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głównie </w:t>
                      </w:r>
                      <w:r w:rsidRPr="0083117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za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br/>
                        <w:t xml:space="preserve">towary i usługi w zakresie transportu </w:t>
                      </w:r>
                      <w:r w:rsidRPr="0083117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(o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0</w:t>
                      </w:r>
                      <w:r w:rsidRPr="0083117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,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7%), rekreacji i kultury </w:t>
                      </w:r>
                      <w:r w:rsidRPr="0083117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(o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0</w:t>
                      </w:r>
                      <w:r w:rsidRPr="0083117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,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5</w:t>
                      </w:r>
                      <w:r w:rsidRPr="0083117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%)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oraz wyposażenia mieszkania i prowadzenia gospodarstwa domowego (o 0,4%)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D4947">
        <w:t>Tablica</w:t>
      </w:r>
      <w:r w:rsidR="00AD4947" w:rsidRPr="00967A32">
        <w:t xml:space="preserve"> 1</w:t>
      </w:r>
      <w:r w:rsidR="00AD4947">
        <w:t>.</w:t>
      </w:r>
      <w:r w:rsidR="00AD4947" w:rsidRPr="00967A32">
        <w:rPr>
          <w:shd w:val="clear" w:color="auto" w:fill="FFFFFF"/>
        </w:rPr>
        <w:t xml:space="preserve"> </w:t>
      </w:r>
      <w:r w:rsidR="00AD4947">
        <w:rPr>
          <w:bCs/>
          <w:shd w:val="clear" w:color="auto" w:fill="FFFFFF"/>
        </w:rPr>
        <w:t xml:space="preserve">Wskaźniki cen towarów i usług konsumpcyjnych w </w:t>
      </w:r>
      <w:r w:rsidR="002724FF">
        <w:rPr>
          <w:bCs/>
          <w:shd w:val="clear" w:color="auto" w:fill="FFFFFF"/>
        </w:rPr>
        <w:t>marcu</w:t>
      </w:r>
      <w:r w:rsidR="00AD4947" w:rsidRPr="008C7A01">
        <w:t xml:space="preserve"> 201</w:t>
      </w:r>
      <w:r w:rsidR="00AD4947">
        <w:t>8</w:t>
      </w:r>
      <w:r w:rsidR="00AD4947" w:rsidRPr="008C7A01">
        <w:t> </w:t>
      </w:r>
      <w:r w:rsidR="00AD4947">
        <w:rPr>
          <w:bCs/>
          <w:shd w:val="clear" w:color="auto" w:fill="FFFFFF"/>
        </w:rPr>
        <w:t>r.</w:t>
      </w:r>
    </w:p>
    <w:p w:rsidR="00C27D75" w:rsidRDefault="006B20B4" w:rsidP="00C27D75">
      <w:pPr>
        <w:rPr>
          <w:rFonts w:ascii="Fira Sans SemiBold" w:eastAsia="Times New Roman" w:hAnsi="Fira Sans SemiBold" w:cs="Times New Roman"/>
          <w:color w:val="001D77"/>
          <w:szCs w:val="24"/>
          <w:shd w:val="clear" w:color="auto" w:fill="FFFFFF"/>
          <w:lang w:eastAsia="pl-PL"/>
        </w:rPr>
      </w:pPr>
      <w:r>
        <w:rPr>
          <w:shd w:val="clear" w:color="auto" w:fill="FFFFFF"/>
        </w:rPr>
        <w:t xml:space="preserve"> </w:t>
      </w:r>
      <w:r w:rsidR="00C27D75">
        <w:rPr>
          <w:shd w:val="clear" w:color="auto" w:fill="FFFFFF"/>
        </w:rPr>
        <w:br w:type="page"/>
      </w:r>
    </w:p>
    <w:p w:rsidR="00A07F00" w:rsidRPr="00074DD8" w:rsidRDefault="00A07F00" w:rsidP="00C27D75">
      <w:pPr>
        <w:pStyle w:val="Nagwek1"/>
        <w:spacing w:before="120" w:line="240" w:lineRule="exact"/>
      </w:pPr>
      <w:r>
        <w:rPr>
          <w:shd w:val="clear" w:color="auto" w:fill="FFFFFF"/>
        </w:rPr>
        <w:lastRenderedPageBreak/>
        <w:t>Wpływy zmian cen na wskaźnik</w:t>
      </w:r>
      <w:r w:rsidR="00B97152">
        <w:rPr>
          <w:shd w:val="clear" w:color="auto" w:fill="FFFFFF"/>
        </w:rPr>
        <w:t xml:space="preserve"> cen</w:t>
      </w:r>
      <w:r>
        <w:rPr>
          <w:shd w:val="clear" w:color="auto" w:fill="FFFFFF"/>
        </w:rPr>
        <w:t xml:space="preserve"> towarów i usług konsumpcyjnych ogółem</w:t>
      </w:r>
    </w:p>
    <w:p w:rsidR="00A07F00" w:rsidRPr="00674A8B" w:rsidRDefault="00A07F00" w:rsidP="00C27D75">
      <w:r w:rsidRPr="00674A8B">
        <w:t xml:space="preserve">W </w:t>
      </w:r>
      <w:r w:rsidR="00F04C11">
        <w:t>marcu</w:t>
      </w:r>
      <w:r w:rsidRPr="00674A8B">
        <w:t xml:space="preserve"> br. w porównaniu z poprzednim miesiącem największy wpływ na wskaźnik cen </w:t>
      </w:r>
      <w:r w:rsidR="00917CCF">
        <w:br/>
      </w:r>
      <w:r w:rsidRPr="00674A8B">
        <w:t xml:space="preserve">towarów i usług konsumpcyjnych ogółem miały </w:t>
      </w:r>
      <w:r w:rsidR="00E41FCF" w:rsidRPr="00674A8B">
        <w:t>niższe</w:t>
      </w:r>
      <w:r w:rsidRPr="00674A8B">
        <w:t xml:space="preserve"> ceny </w:t>
      </w:r>
      <w:r w:rsidR="00F04C11">
        <w:t>w zakresie transportu</w:t>
      </w:r>
      <w:r w:rsidRPr="00674A8B">
        <w:t xml:space="preserve"> (o </w:t>
      </w:r>
      <w:r w:rsidR="00E41FCF" w:rsidRPr="00674A8B">
        <w:t>0</w:t>
      </w:r>
      <w:r w:rsidRPr="00674A8B">
        <w:t>,</w:t>
      </w:r>
      <w:r w:rsidR="00F04C11">
        <w:t>7</w:t>
      </w:r>
      <w:r w:rsidRPr="00674A8B">
        <w:t>%)</w:t>
      </w:r>
      <w:r w:rsidR="00F04C11">
        <w:t xml:space="preserve"> oraz mieszkania</w:t>
      </w:r>
      <w:r w:rsidRPr="00674A8B">
        <w:t xml:space="preserve"> (o </w:t>
      </w:r>
      <w:r w:rsidR="00F04C11">
        <w:t>0</w:t>
      </w:r>
      <w:r w:rsidRPr="00674A8B">
        <w:t>,</w:t>
      </w:r>
      <w:r w:rsidR="00F04C11">
        <w:t>2</w:t>
      </w:r>
      <w:r w:rsidRPr="00674A8B">
        <w:t xml:space="preserve">%), które </w:t>
      </w:r>
      <w:r w:rsidR="00E41FCF" w:rsidRPr="00674A8B">
        <w:t>obniżyły</w:t>
      </w:r>
      <w:r w:rsidRPr="00674A8B">
        <w:t xml:space="preserve"> wskaźnik odpowiednio o 0,</w:t>
      </w:r>
      <w:r w:rsidR="00F04C11">
        <w:t>06</w:t>
      </w:r>
      <w:r w:rsidR="00674A8B" w:rsidRPr="00674A8B">
        <w:t xml:space="preserve"> p. </w:t>
      </w:r>
      <w:r w:rsidR="00F04C11">
        <w:t xml:space="preserve">proc. </w:t>
      </w:r>
      <w:r w:rsidR="00E41FCF" w:rsidRPr="00674A8B">
        <w:t xml:space="preserve">i </w:t>
      </w:r>
      <w:r w:rsidRPr="00674A8B">
        <w:t>0,0</w:t>
      </w:r>
      <w:r w:rsidR="00F04C11">
        <w:t>5</w:t>
      </w:r>
      <w:r w:rsidRPr="00674A8B">
        <w:t xml:space="preserve"> p. proc. </w:t>
      </w:r>
      <w:r w:rsidR="00917CCF">
        <w:br/>
      </w:r>
      <w:r w:rsidR="00E41FCF" w:rsidRPr="00674A8B">
        <w:t>Wyższe</w:t>
      </w:r>
      <w:r w:rsidRPr="00674A8B">
        <w:t xml:space="preserve"> ceny </w:t>
      </w:r>
      <w:r w:rsidR="00E41FCF" w:rsidRPr="00674A8B">
        <w:t xml:space="preserve">w zakresie </w:t>
      </w:r>
      <w:r w:rsidR="00F04C11">
        <w:t>odzieży i obuwia</w:t>
      </w:r>
      <w:r w:rsidR="00E41FCF" w:rsidRPr="00674A8B">
        <w:t xml:space="preserve"> </w:t>
      </w:r>
      <w:r w:rsidRPr="00674A8B">
        <w:t xml:space="preserve">(o </w:t>
      </w:r>
      <w:r w:rsidR="00F04C11">
        <w:t>2</w:t>
      </w:r>
      <w:r w:rsidRPr="00674A8B">
        <w:t>,</w:t>
      </w:r>
      <w:r w:rsidR="00F04C11">
        <w:t>3</w:t>
      </w:r>
      <w:r w:rsidRPr="00674A8B">
        <w:t xml:space="preserve">%) </w:t>
      </w:r>
      <w:r w:rsidR="00B609CE" w:rsidRPr="00674A8B">
        <w:t>podwyższyły</w:t>
      </w:r>
      <w:r w:rsidRPr="00674A8B">
        <w:t xml:space="preserve"> ten wskaźnik o 0,</w:t>
      </w:r>
      <w:r w:rsidR="00F04C11">
        <w:t>11</w:t>
      </w:r>
      <w:r w:rsidRPr="00674A8B">
        <w:t xml:space="preserve"> p. proc.</w:t>
      </w:r>
      <w:r w:rsidRPr="00674A8B">
        <w:rPr>
          <w:b/>
        </w:rPr>
        <w:t xml:space="preserve"> </w:t>
      </w:r>
      <w:r w:rsidR="00917CCF">
        <w:rPr>
          <w:b/>
        </w:rPr>
        <w:br/>
      </w:r>
      <w:r w:rsidRPr="00674A8B">
        <w:t>W porównaniu z miesiącem analogicznym poprzedniego roku wyższe ceny żywności (o </w:t>
      </w:r>
      <w:r w:rsidR="00674A8B" w:rsidRPr="00674A8B">
        <w:t>3</w:t>
      </w:r>
      <w:r w:rsidRPr="00674A8B">
        <w:t>,</w:t>
      </w:r>
      <w:r w:rsidR="00F04C11">
        <w:t>9</w:t>
      </w:r>
      <w:r w:rsidR="00674A8B" w:rsidRPr="00674A8B">
        <w:t xml:space="preserve">%) </w:t>
      </w:r>
      <w:r w:rsidRPr="00674A8B">
        <w:t>oraz w zakresie mieszkania (o 1,</w:t>
      </w:r>
      <w:r w:rsidR="00F04C11">
        <w:t>6</w:t>
      </w:r>
      <w:r w:rsidR="00674A8B" w:rsidRPr="00674A8B">
        <w:t xml:space="preserve">%) </w:t>
      </w:r>
      <w:r w:rsidRPr="00674A8B">
        <w:t>pod</w:t>
      </w:r>
      <w:r w:rsidRPr="00674A8B">
        <w:softHyphen/>
        <w:t>niosły ten wskaźnik odpowiednio o 0,</w:t>
      </w:r>
      <w:r w:rsidR="00F04C11">
        <w:t>86</w:t>
      </w:r>
      <w:r w:rsidRPr="00674A8B">
        <w:t xml:space="preserve"> p. proc. i 0,</w:t>
      </w:r>
      <w:r w:rsidR="00674A8B" w:rsidRPr="00674A8B">
        <w:t>4</w:t>
      </w:r>
      <w:r w:rsidR="00F04C11">
        <w:t>2</w:t>
      </w:r>
      <w:r w:rsidR="00917CCF">
        <w:t> </w:t>
      </w:r>
      <w:r w:rsidR="00F04C11">
        <w:t>p. </w:t>
      </w:r>
      <w:r w:rsidRPr="00674A8B">
        <w:t xml:space="preserve">proc. Niższe ceny odzieży i obuwia (o </w:t>
      </w:r>
      <w:r w:rsidR="00F04C11">
        <w:t>3</w:t>
      </w:r>
      <w:r w:rsidRPr="00674A8B">
        <w:t>,</w:t>
      </w:r>
      <w:r w:rsidR="00F04C11">
        <w:t>7</w:t>
      </w:r>
      <w:r w:rsidR="00674A8B" w:rsidRPr="00674A8B">
        <w:t xml:space="preserve">%) </w:t>
      </w:r>
      <w:r w:rsidRPr="00674A8B">
        <w:t xml:space="preserve">oraz </w:t>
      </w:r>
      <w:r w:rsidR="00674A8B" w:rsidRPr="00674A8B">
        <w:t>w zakresie transportu</w:t>
      </w:r>
      <w:r w:rsidRPr="00674A8B">
        <w:t xml:space="preserve"> (o </w:t>
      </w:r>
      <w:r w:rsidR="00F04C11">
        <w:t>1</w:t>
      </w:r>
      <w:r w:rsidRPr="00674A8B">
        <w:t>,</w:t>
      </w:r>
      <w:r w:rsidR="00F04C11">
        <w:t>9</w:t>
      </w:r>
      <w:r w:rsidRPr="00674A8B">
        <w:t xml:space="preserve">%) </w:t>
      </w:r>
      <w:r w:rsidR="00917CCF">
        <w:br/>
      </w:r>
      <w:r w:rsidRPr="00674A8B">
        <w:t>obniżyły wskaźnik odpowiednio o 0,</w:t>
      </w:r>
      <w:r w:rsidR="00674A8B" w:rsidRPr="00674A8B">
        <w:t>2</w:t>
      </w:r>
      <w:r w:rsidR="00F04C11">
        <w:t>0</w:t>
      </w:r>
      <w:r w:rsidR="00674A8B" w:rsidRPr="00674A8B">
        <w:t xml:space="preserve"> p. proc. </w:t>
      </w:r>
      <w:r w:rsidRPr="00674A8B">
        <w:t>i 0,</w:t>
      </w:r>
      <w:r w:rsidR="00674A8B" w:rsidRPr="00674A8B">
        <w:t>1</w:t>
      </w:r>
      <w:r w:rsidR="00F04C11">
        <w:t>7</w:t>
      </w:r>
      <w:r w:rsidRPr="00674A8B">
        <w:t xml:space="preserve"> p. proc.</w:t>
      </w:r>
    </w:p>
    <w:p w:rsidR="00A07F00" w:rsidRDefault="00A07F00" w:rsidP="00C27D75"/>
    <w:p w:rsidR="00A07F00" w:rsidRDefault="005D1C04" w:rsidP="00C27D75">
      <w:pPr>
        <w:pStyle w:val="tytuwykresu"/>
        <w:rPr>
          <w:b w:val="0"/>
          <w:noProof/>
          <w:shd w:val="clear" w:color="auto" w:fill="FFFFFF"/>
          <w:lang w:eastAsia="pl-P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55520" behindDoc="1" locked="0" layoutInCell="1" allowOverlap="1" wp14:anchorId="146BBB13" wp14:editId="03F483A0">
                <wp:simplePos x="0" y="0"/>
                <wp:positionH relativeFrom="column">
                  <wp:posOffset>5267325</wp:posOffset>
                </wp:positionH>
                <wp:positionV relativeFrom="page">
                  <wp:posOffset>2762250</wp:posOffset>
                </wp:positionV>
                <wp:extent cx="1725295" cy="1838325"/>
                <wp:effectExtent l="0" t="0" r="0" b="9525"/>
                <wp:wrapSquare wrapText="bothSides"/>
                <wp:docPr id="1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B23" w:rsidRPr="00674A8B" w:rsidRDefault="00682B23" w:rsidP="00A07F00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674A8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marcu</w:t>
                            </w:r>
                            <w:r w:rsidRPr="00674A8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2018 r.</w:t>
                            </w:r>
                            <w:r w:rsidRPr="00674A8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największy wpływ na wskaźnik cen tow</w:t>
                            </w:r>
                            <w:r w:rsidRPr="00674A8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a</w:t>
                            </w:r>
                            <w:r w:rsidRPr="00674A8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rów i usług konsumpcyjnych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br/>
                            </w:r>
                            <w:r w:rsidRPr="00674A8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ogółem miały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wy</w:t>
                            </w:r>
                            <w:r w:rsidRPr="00674A8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ższe ceny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odzieży, które podwyższ</w:t>
                            </w:r>
                            <w:r w:rsidRPr="00674A8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yły ten wskaźnik o 0,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10</w:t>
                            </w:r>
                            <w:r w:rsidRPr="00674A8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p. proc.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9" o:spid="_x0000_s1028" type="#_x0000_t202" style="position:absolute;margin-left:414.75pt;margin-top:217.5pt;width:135.85pt;height:144.75pt;z-index:-251560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HEQ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" filled="f" stroked="f">
                <v:textbox>
                  <w:txbxContent>
                    <w:p w:rsidR="00682B23" w:rsidRPr="00674A8B" w:rsidRDefault="00682B23" w:rsidP="00A07F00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674A8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marcu</w:t>
                      </w:r>
                      <w:r w:rsidRPr="00674A8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2018 r.</w:t>
                      </w:r>
                      <w:r w:rsidRPr="00674A8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największy wpływ na wskaźnik cen towarów i usług konsumpcyjnych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br/>
                      </w:r>
                      <w:r w:rsidRPr="00674A8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ogółem miały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wy</w:t>
                      </w:r>
                      <w:r w:rsidRPr="00674A8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ższe ceny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odzieży, które podwyższ</w:t>
                      </w:r>
                      <w:r w:rsidRPr="00674A8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yły ten wskaźnik o 0,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10</w:t>
                      </w:r>
                      <w:r w:rsidRPr="00674A8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p. proc.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07F00" w:rsidRPr="00967A32">
        <w:t xml:space="preserve">Wykres </w:t>
      </w:r>
      <w:r w:rsidR="00761070">
        <w:t>1</w:t>
      </w:r>
      <w:r w:rsidR="00A07F00">
        <w:t>.</w:t>
      </w:r>
      <w:r w:rsidR="00A07F00" w:rsidRPr="00967A32">
        <w:rPr>
          <w:shd w:val="clear" w:color="auto" w:fill="FFFFFF"/>
        </w:rPr>
        <w:t xml:space="preserve"> </w:t>
      </w:r>
      <w:r w:rsidR="00A07F00">
        <w:rPr>
          <w:shd w:val="clear" w:color="auto" w:fill="FFFFFF"/>
        </w:rPr>
        <w:t xml:space="preserve">Wpływ zmian cen wybranych grup towarów i usług konsumpcyjnych w </w:t>
      </w:r>
      <w:r w:rsidR="005A2784">
        <w:rPr>
          <w:shd w:val="clear" w:color="auto" w:fill="FFFFFF"/>
        </w:rPr>
        <w:t>marcu</w:t>
      </w:r>
      <w:r w:rsidR="00A07F00">
        <w:rPr>
          <w:shd w:val="clear" w:color="auto" w:fill="FFFFFF"/>
        </w:rPr>
        <w:t xml:space="preserve"> </w:t>
      </w:r>
      <w:r w:rsidR="00A07F00" w:rsidRPr="0051646A">
        <w:rPr>
          <w:shd w:val="clear" w:color="auto" w:fill="FFFFFF"/>
        </w:rPr>
        <w:t>201</w:t>
      </w:r>
      <w:r w:rsidR="00C27D75" w:rsidRPr="0051646A">
        <w:rPr>
          <w:shd w:val="clear" w:color="auto" w:fill="FFFFFF"/>
        </w:rPr>
        <w:t>8</w:t>
      </w:r>
      <w:r w:rsidR="00A07F00" w:rsidRPr="0051646A">
        <w:rPr>
          <w:shd w:val="clear" w:color="auto" w:fill="FFFFFF"/>
        </w:rPr>
        <w:t xml:space="preserve"> r.</w:t>
      </w:r>
      <w:r w:rsidR="00A07F00" w:rsidRPr="0051646A">
        <w:rPr>
          <w:noProof/>
          <w:shd w:val="clear" w:color="auto" w:fill="FFFFFF"/>
          <w:lang w:eastAsia="pl-PL"/>
        </w:rPr>
        <w:t xml:space="preserve"> </w:t>
      </w:r>
      <w:r w:rsidR="0051646A">
        <w:rPr>
          <w:noProof/>
          <w:shd w:val="clear" w:color="auto" w:fill="FFFFFF"/>
          <w:lang w:eastAsia="pl-PL"/>
        </w:rPr>
        <w:br/>
      </w:r>
      <w:r w:rsidR="0051646A" w:rsidRPr="0051646A">
        <w:rPr>
          <w:noProof/>
          <w:shd w:val="clear" w:color="auto" w:fill="FFFFFF"/>
          <w:lang w:eastAsia="pl-PL"/>
        </w:rPr>
        <w:t>(z</w:t>
      </w:r>
      <w:r w:rsidR="0051646A" w:rsidRPr="0051646A">
        <w:rPr>
          <w:shd w:val="clear" w:color="auto" w:fill="FFFFFF"/>
        </w:rPr>
        <w:t>miana</w:t>
      </w:r>
      <w:r w:rsidR="0051646A" w:rsidRPr="007D5668">
        <w:rPr>
          <w:shd w:val="clear" w:color="auto" w:fill="FFFFFF"/>
        </w:rPr>
        <w:t xml:space="preserve"> w </w:t>
      </w:r>
      <w:r w:rsidR="0051646A">
        <w:rPr>
          <w:shd w:val="clear" w:color="auto" w:fill="FFFFFF"/>
        </w:rPr>
        <w:t>p. proc.</w:t>
      </w:r>
      <w:r w:rsidR="0051646A" w:rsidRPr="007D5668">
        <w:rPr>
          <w:shd w:val="clear" w:color="auto" w:fill="FFFFFF"/>
        </w:rPr>
        <w:t xml:space="preserve"> do okresu poprzedniego</w:t>
      </w:r>
      <w:r w:rsidR="0051646A">
        <w:rPr>
          <w:shd w:val="clear" w:color="auto" w:fill="FFFFFF"/>
        </w:rPr>
        <w:t>)</w:t>
      </w:r>
    </w:p>
    <w:p w:rsidR="00A07F00" w:rsidRPr="00316DF3" w:rsidRDefault="00132297" w:rsidP="00C27D75">
      <w:pPr>
        <w:pStyle w:val="tytuwykresu"/>
        <w:rPr>
          <w:b w:val="0"/>
          <w:shd w:val="clear" w:color="auto" w:fill="FFFFFF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791360" behindDoc="0" locked="0" layoutInCell="1" allowOverlap="1" wp14:anchorId="566A3BAF" wp14:editId="44808902">
            <wp:simplePos x="0" y="0"/>
            <wp:positionH relativeFrom="column">
              <wp:align>left</wp:align>
            </wp:positionH>
            <wp:positionV relativeFrom="line">
              <wp:posOffset>36195</wp:posOffset>
            </wp:positionV>
            <wp:extent cx="5122800" cy="2876400"/>
            <wp:effectExtent l="0" t="0" r="0" b="0"/>
            <wp:wrapSquare wrapText="bothSides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B5E" w:rsidRDefault="005D1C04">
      <w:pPr>
        <w:spacing w:before="0" w:after="160" w:line="259" w:lineRule="auto"/>
        <w:rPr>
          <w:b/>
          <w:spacing w:val="-2"/>
          <w:sz w:val="18"/>
        </w:rPr>
      </w:pPr>
      <w:r>
        <w:rPr>
          <w:b/>
          <w:noProof/>
          <w:spacing w:val="-2"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84192" behindDoc="1" locked="0" layoutInCell="1" allowOverlap="1" wp14:anchorId="1214E2CD" wp14:editId="464D9A7B">
                <wp:simplePos x="0" y="0"/>
                <wp:positionH relativeFrom="column">
                  <wp:posOffset>5267325</wp:posOffset>
                </wp:positionH>
                <wp:positionV relativeFrom="page">
                  <wp:posOffset>6362700</wp:posOffset>
                </wp:positionV>
                <wp:extent cx="1725295" cy="1800225"/>
                <wp:effectExtent l="0" t="0" r="0" b="0"/>
                <wp:wrapTight wrapText="bothSides">
                  <wp:wrapPolygon edited="0">
                    <wp:start x="715" y="0"/>
                    <wp:lineTo x="715" y="21257"/>
                    <wp:lineTo x="20749" y="21257"/>
                    <wp:lineTo x="20749" y="0"/>
                    <wp:lineTo x="715" y="0"/>
                  </wp:wrapPolygon>
                </wp:wrapTight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800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B23" w:rsidRPr="00BF2F65" w:rsidRDefault="00493217" w:rsidP="00792E24">
                            <w:pPr>
                              <w:pStyle w:val="Tekstprzypisudolnego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 2018 r., podobnie jak w </w:t>
                            </w:r>
                            <w:r w:rsidR="00682B23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latach poprzednic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h, na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j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większy udział wydatków w </w:t>
                            </w:r>
                            <w:r w:rsidR="00682B23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obliczeniach wskaźnika cen towarów i usłu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g ko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n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sumpcyjnych mają żywność i </w:t>
                            </w:r>
                            <w:r w:rsidR="00682B23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napoje bezalkoholowe (24,36%) oraz towary i usługi związane z użytkowaniem mieszkania lub domu i nośniki energii (20,35%)</w:t>
                            </w:r>
                          </w:p>
                          <w:p w:rsidR="00682B23" w:rsidRPr="00BF2F65" w:rsidRDefault="00682B23" w:rsidP="00792E24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2B8453" id="_x0000_s1029" type="#_x0000_t202" style="position:absolute;margin-left:414.75pt;margin-top:501pt;width:135.85pt;height:141.75pt;z-index:-251532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" filled="f" stroked="f">
                <v:textbox>
                  <w:txbxContent>
                    <w:p w:rsidR="00682B23" w:rsidRPr="00BF2F65" w:rsidRDefault="00493217" w:rsidP="00792E24">
                      <w:pPr>
                        <w:pStyle w:val="Tekstprzypisudolnego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 2018 r., podobnie jak w </w:t>
                      </w:r>
                      <w:r w:rsidR="00682B23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latach poprzednic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h, największy udział wydatków w </w:t>
                      </w:r>
                      <w:r w:rsidR="00682B23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obliczeniach wskaźnika cen towarów i usłu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g konsumpcyjnych mają żywność i </w:t>
                      </w:r>
                      <w:r w:rsidR="00682B23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napoje bezalkoholowe (24,36%) oraz towary i usługi związane z użytkowaniem mieszkania lub domu i nośniki energii (20,35%)</w:t>
                      </w:r>
                    </w:p>
                    <w:p w:rsidR="00682B23" w:rsidRPr="00BF2F65" w:rsidRDefault="00682B23" w:rsidP="00792E24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5F4399" w:rsidRPr="005F4399">
        <w:rPr>
          <w:b/>
          <w:spacing w:val="-2"/>
          <w:sz w:val="18"/>
        </w:rPr>
        <w:t xml:space="preserve">Wykres </w:t>
      </w:r>
      <w:r w:rsidR="005F4399">
        <w:rPr>
          <w:b/>
          <w:spacing w:val="-2"/>
          <w:sz w:val="18"/>
        </w:rPr>
        <w:t>2</w:t>
      </w:r>
      <w:r w:rsidR="005F4399" w:rsidRPr="005F4399">
        <w:rPr>
          <w:b/>
          <w:spacing w:val="-2"/>
          <w:sz w:val="18"/>
        </w:rPr>
        <w:t>. System wag stosowany w obliczeniach wskaźników cen towarów</w:t>
      </w:r>
      <w:r w:rsidR="005F4399">
        <w:rPr>
          <w:b/>
          <w:spacing w:val="-2"/>
          <w:sz w:val="18"/>
        </w:rPr>
        <w:t xml:space="preserve"> </w:t>
      </w:r>
      <w:r w:rsidR="00A51BB2">
        <w:rPr>
          <w:b/>
          <w:spacing w:val="-2"/>
          <w:sz w:val="18"/>
        </w:rPr>
        <w:br/>
      </w:r>
      <w:r w:rsidR="005F4399">
        <w:rPr>
          <w:b/>
          <w:spacing w:val="-2"/>
          <w:sz w:val="18"/>
        </w:rPr>
        <w:t xml:space="preserve">i usług </w:t>
      </w:r>
      <w:r w:rsidR="00792E24"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 wp14:anchorId="2A2C2984" wp14:editId="7B4175B5">
            <wp:simplePos x="0" y="0"/>
            <wp:positionH relativeFrom="column">
              <wp:posOffset>0</wp:posOffset>
            </wp:positionH>
            <wp:positionV relativeFrom="line">
              <wp:posOffset>286385</wp:posOffset>
            </wp:positionV>
            <wp:extent cx="5122545" cy="3600000"/>
            <wp:effectExtent l="0" t="0" r="1905" b="0"/>
            <wp:wrapSquare wrapText="bothSides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399">
        <w:rPr>
          <w:b/>
          <w:spacing w:val="-2"/>
          <w:sz w:val="18"/>
        </w:rPr>
        <w:t>konsumpcyjnych w 2018 r.</w:t>
      </w:r>
      <w:r w:rsidR="00C73B5E">
        <w:br w:type="page"/>
      </w:r>
    </w:p>
    <w:p w:rsidR="003A440F" w:rsidRDefault="00917CCF" w:rsidP="00C27D75">
      <w:pPr>
        <w:pStyle w:val="tytuwykresu"/>
        <w:rPr>
          <w:b w:val="0"/>
          <w:noProof/>
          <w:shd w:val="clear" w:color="auto" w:fill="FFFFFF"/>
          <w:lang w:eastAsia="pl-PL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90336" behindDoc="1" locked="0" layoutInCell="1" allowOverlap="1" wp14:anchorId="194D88E8" wp14:editId="4E89F230">
                <wp:simplePos x="0" y="0"/>
                <wp:positionH relativeFrom="column">
                  <wp:posOffset>5267325</wp:posOffset>
                </wp:positionH>
                <wp:positionV relativeFrom="page">
                  <wp:posOffset>923925</wp:posOffset>
                </wp:positionV>
                <wp:extent cx="1725295" cy="952500"/>
                <wp:effectExtent l="0" t="0" r="0" b="0"/>
                <wp:wrapTight wrapText="bothSides">
                  <wp:wrapPolygon edited="0">
                    <wp:start x="477" y="0"/>
                    <wp:lineTo x="477" y="21168"/>
                    <wp:lineTo x="20749" y="21168"/>
                    <wp:lineTo x="20749" y="0"/>
                    <wp:lineTo x="477" y="0"/>
                  </wp:wrapPolygon>
                </wp:wrapTight>
                <wp:docPr id="2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B23" w:rsidRPr="00C73B5E" w:rsidRDefault="00682B23" w:rsidP="00034160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 porównaniu z poprzednim miesiącem, w marcu 2018 r. ceny towarów i usług ko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n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sumpcyjnych obniżyły się </w:t>
                            </w:r>
                            <w:r w:rsidRPr="009B1399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 0,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1</w:t>
                            </w:r>
                            <w:r w:rsidRPr="009B1399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ED37F2" id="Text Box 25" o:spid="_x0000_s1030" type="#_x0000_t202" style="position:absolute;margin-left:414.75pt;margin-top:72.75pt;width:135.85pt;height:75pt;z-index:-251526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" filled="f" stroked="f">
                <v:textbox>
                  <w:txbxContent>
                    <w:p w:rsidR="00682B23" w:rsidRPr="00C73B5E" w:rsidRDefault="00682B23" w:rsidP="00034160">
                      <w:pPr>
                        <w:rPr>
                          <w:szCs w:val="18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 porównaniu z poprzednim miesiącem, w marcu 2018 r. ceny towarów i usług konsumpcyjnych obniżyły się </w:t>
                      </w:r>
                      <w:r w:rsidRPr="009B1399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 0,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1</w:t>
                      </w:r>
                      <w:r w:rsidRPr="009B1399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3A440F" w:rsidRPr="00967A32">
        <w:t xml:space="preserve">Wykres </w:t>
      </w:r>
      <w:r w:rsidR="00CF08EF">
        <w:t>3</w:t>
      </w:r>
      <w:r w:rsidR="003A440F">
        <w:t>.</w:t>
      </w:r>
      <w:r w:rsidR="003A440F" w:rsidRPr="00967A32">
        <w:rPr>
          <w:shd w:val="clear" w:color="auto" w:fill="FFFFFF"/>
        </w:rPr>
        <w:t xml:space="preserve"> </w:t>
      </w:r>
      <w:r w:rsidR="003A440F">
        <w:rPr>
          <w:shd w:val="clear" w:color="auto" w:fill="FFFFFF"/>
        </w:rPr>
        <w:t>C</w:t>
      </w:r>
      <w:r w:rsidR="003A440F">
        <w:rPr>
          <w:bCs/>
          <w:shd w:val="clear" w:color="auto" w:fill="FFFFFF"/>
        </w:rPr>
        <w:t>eny</w:t>
      </w:r>
      <w:r w:rsidR="003A440F" w:rsidRPr="00967A32">
        <w:rPr>
          <w:bCs/>
          <w:shd w:val="clear" w:color="auto" w:fill="FFFFFF"/>
        </w:rPr>
        <w:t xml:space="preserve"> towarów i usług </w:t>
      </w:r>
      <w:r w:rsidR="003A440F" w:rsidRPr="007D5668">
        <w:rPr>
          <w:bCs/>
          <w:shd w:val="clear" w:color="auto" w:fill="FFFFFF"/>
        </w:rPr>
        <w:t xml:space="preserve">konsumpcyjnych </w:t>
      </w:r>
      <w:r w:rsidR="003A440F" w:rsidRPr="007D5668">
        <w:rPr>
          <w:shd w:val="clear" w:color="auto" w:fill="FFFFFF"/>
        </w:rPr>
        <w:t>(zmiana w % do okresu poprzedniego)</w:t>
      </w:r>
      <w:r w:rsidR="003A440F" w:rsidRPr="00316DF3">
        <w:rPr>
          <w:b w:val="0"/>
          <w:noProof/>
          <w:shd w:val="clear" w:color="auto" w:fill="FFFFFF"/>
          <w:lang w:eastAsia="pl-PL"/>
        </w:rPr>
        <w:t xml:space="preserve"> </w:t>
      </w:r>
    </w:p>
    <w:p w:rsidR="00DA0243" w:rsidRDefault="003D3B24" w:rsidP="0026302B">
      <w:pPr>
        <w:pStyle w:val="LID"/>
        <w:rPr>
          <w:b w:val="0"/>
          <w:spacing w:val="-2"/>
          <w:sz w:val="18"/>
        </w:rPr>
      </w:pPr>
      <w:r>
        <w:rPr>
          <w:lang w:val="en-GB" w:eastAsia="en-GB"/>
        </w:rPr>
        <w:drawing>
          <wp:anchor distT="0" distB="0" distL="114300" distR="114300" simplePos="0" relativeHeight="251786240" behindDoc="0" locked="0" layoutInCell="1" allowOverlap="0" wp14:anchorId="1D1D0756" wp14:editId="7DAF374B">
            <wp:simplePos x="0" y="0"/>
            <wp:positionH relativeFrom="column">
              <wp:align>left</wp:align>
            </wp:positionH>
            <wp:positionV relativeFrom="line">
              <wp:posOffset>36195</wp:posOffset>
            </wp:positionV>
            <wp:extent cx="5018400" cy="2556000"/>
            <wp:effectExtent l="0" t="0" r="0" b="15875"/>
            <wp:wrapSquare wrapText="bothSides"/>
            <wp:docPr id="1" name="Wykre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4160" w:rsidRPr="007D5668" w:rsidRDefault="005D1C04" w:rsidP="00034160">
      <w:pPr>
        <w:pStyle w:val="tytuwykresu"/>
        <w:rPr>
          <w:shd w:val="clear" w:color="auto" w:fill="FFFFFF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50400" behindDoc="1" locked="0" layoutInCell="1" allowOverlap="1" wp14:anchorId="45E93C45" wp14:editId="1FB9FEDB">
                <wp:simplePos x="0" y="0"/>
                <wp:positionH relativeFrom="column">
                  <wp:posOffset>5267325</wp:posOffset>
                </wp:positionH>
                <wp:positionV relativeFrom="page">
                  <wp:posOffset>4067175</wp:posOffset>
                </wp:positionV>
                <wp:extent cx="1725295" cy="1209675"/>
                <wp:effectExtent l="0" t="0" r="0" b="9525"/>
                <wp:wrapTight wrapText="bothSides">
                  <wp:wrapPolygon edited="0">
                    <wp:start x="477" y="0"/>
                    <wp:lineTo x="477" y="21430"/>
                    <wp:lineTo x="20749" y="21430"/>
                    <wp:lineTo x="20749" y="0"/>
                    <wp:lineTo x="477" y="0"/>
                  </wp:wrapPolygon>
                </wp:wrapTight>
                <wp:docPr id="1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B23" w:rsidRPr="00BF2F65" w:rsidRDefault="00682B23" w:rsidP="00034160">
                            <w:pPr>
                              <w:pStyle w:val="Tekstprzypisudolnego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 marcu 2018 r. wskaźnik cen towarów i usług konsumpcy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j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nych znajdował się poniżej odchyleń od celu inflacyjn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e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go określonego przez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br/>
                              <w:t xml:space="preserve">Radę Polityki Pieniężnej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br/>
                              <w:t>(2,5% +/- 1 p. proc.)</w:t>
                            </w:r>
                          </w:p>
                          <w:p w:rsidR="00682B23" w:rsidRPr="00BF2F65" w:rsidRDefault="00682B23" w:rsidP="00034160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414.75pt;margin-top:320.25pt;width:135.85pt;height:95.25pt;z-index:-251566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" filled="f" stroked="f">
                <v:textbox>
                  <w:txbxContent>
                    <w:p w:rsidR="00682B23" w:rsidRPr="00BF2F65" w:rsidRDefault="00682B23" w:rsidP="00034160">
                      <w:pPr>
                        <w:pStyle w:val="Tekstprzypisudolnego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 marcu 2018 r. wskaźnik cen towarów i usług konsumpcyjnych znajdował się poniżej odchyleń od celu inflacyjnego określonego przez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br/>
                        <w:t xml:space="preserve">Radę Polityki Pieniężnej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br/>
                        <w:t>(2,5% +/- 1 p. proc.)</w:t>
                      </w:r>
                    </w:p>
                    <w:p w:rsidR="00682B23" w:rsidRPr="00BF2F65" w:rsidRDefault="00682B23" w:rsidP="00034160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034160" w:rsidRPr="00967A32">
        <w:t xml:space="preserve">Wykres </w:t>
      </w:r>
      <w:r w:rsidR="00CF08EF">
        <w:t>4</w:t>
      </w:r>
      <w:r w:rsidR="00034160">
        <w:t>.</w:t>
      </w:r>
      <w:r w:rsidR="00034160" w:rsidRPr="00967A32">
        <w:rPr>
          <w:shd w:val="clear" w:color="auto" w:fill="FFFFFF"/>
        </w:rPr>
        <w:t xml:space="preserve"> </w:t>
      </w:r>
      <w:r w:rsidR="00034160">
        <w:rPr>
          <w:shd w:val="clear" w:color="auto" w:fill="FFFFFF"/>
        </w:rPr>
        <w:t>C</w:t>
      </w:r>
      <w:r w:rsidR="00034160">
        <w:rPr>
          <w:bCs/>
          <w:shd w:val="clear" w:color="auto" w:fill="FFFFFF"/>
        </w:rPr>
        <w:t>eny</w:t>
      </w:r>
      <w:r w:rsidR="00034160" w:rsidRPr="00967A32">
        <w:rPr>
          <w:bCs/>
          <w:shd w:val="clear" w:color="auto" w:fill="FFFFFF"/>
        </w:rPr>
        <w:t xml:space="preserve"> towarów i usług konsumpcyjnych </w:t>
      </w:r>
      <w:r w:rsidR="00132297">
        <w:rPr>
          <w:bCs/>
          <w:shd w:val="clear" w:color="auto" w:fill="FFFFFF"/>
        </w:rPr>
        <w:br/>
      </w:r>
      <w:r w:rsidR="00034160" w:rsidRPr="007D5668">
        <w:rPr>
          <w:shd w:val="clear" w:color="auto" w:fill="FFFFFF"/>
        </w:rPr>
        <w:t>(zmiana w % do analogicznego okresu roku poprzedniego)</w:t>
      </w:r>
    </w:p>
    <w:p w:rsidR="00034160" w:rsidRPr="0026302B" w:rsidRDefault="00511F19" w:rsidP="00034160">
      <w:pPr>
        <w:spacing w:before="0" w:after="160" w:line="259" w:lineRule="auto"/>
        <w:rPr>
          <w:sz w:val="1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787264" behindDoc="0" locked="0" layoutInCell="1" allowOverlap="1" wp14:anchorId="3D72DE97" wp14:editId="7AD2282F">
            <wp:simplePos x="0" y="0"/>
            <wp:positionH relativeFrom="column">
              <wp:align>left</wp:align>
            </wp:positionH>
            <wp:positionV relativeFrom="line">
              <wp:posOffset>36195</wp:posOffset>
            </wp:positionV>
            <wp:extent cx="5062779" cy="2592000"/>
            <wp:effectExtent l="0" t="0" r="0" b="18415"/>
            <wp:wrapSquare wrapText="bothSides"/>
            <wp:docPr id="4" name="Wykre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DBB" w:rsidRPr="001E7DBB" w:rsidRDefault="00883763" w:rsidP="001E7DBB">
      <w:pPr>
        <w:pStyle w:val="tytuwykresu"/>
        <w:rPr>
          <w:bCs/>
          <w:shd w:val="clear" w:color="auto" w:fill="FFFFFF"/>
        </w:rPr>
      </w:pPr>
      <w:r w:rsidRPr="00774620">
        <w:t xml:space="preserve">Wykres </w:t>
      </w:r>
      <w:r w:rsidR="00CF08EF">
        <w:t>5</w:t>
      </w:r>
      <w:r>
        <w:t>.</w:t>
      </w:r>
      <w:r w:rsidRPr="00774620">
        <w:rPr>
          <w:shd w:val="clear" w:color="auto" w:fill="FFFFFF"/>
        </w:rPr>
        <w:t xml:space="preserve"> </w:t>
      </w:r>
      <w:r w:rsidR="00761070">
        <w:rPr>
          <w:bCs/>
          <w:shd w:val="clear" w:color="auto" w:fill="FFFFFF"/>
        </w:rPr>
        <w:t xml:space="preserve">Wskaźnik cen towarów i usług konsumpcyjnych (CPI) oraz </w:t>
      </w:r>
      <w:r w:rsidR="001E7DBB">
        <w:rPr>
          <w:bCs/>
          <w:shd w:val="clear" w:color="auto" w:fill="FFFFFF"/>
        </w:rPr>
        <w:t>z</w:t>
      </w:r>
      <w:r w:rsidR="00761070">
        <w:rPr>
          <w:bCs/>
          <w:shd w:val="clear" w:color="auto" w:fill="FFFFFF"/>
        </w:rPr>
        <w:t xml:space="preserve">harmonizowany </w:t>
      </w:r>
      <w:r w:rsidR="001E7DBB" w:rsidRPr="001E7DBB">
        <w:rPr>
          <w:bCs/>
          <w:shd w:val="clear" w:color="auto" w:fill="FFFFFF"/>
        </w:rPr>
        <w:t xml:space="preserve">wskaźnik </w:t>
      </w:r>
      <w:r w:rsidR="00511F19">
        <w:rPr>
          <w:bCs/>
          <w:shd w:val="clear" w:color="auto" w:fill="FFFFFF"/>
        </w:rPr>
        <w:br/>
      </w:r>
      <w:r w:rsidR="001E7DBB" w:rsidRPr="001E7DBB">
        <w:rPr>
          <w:bCs/>
          <w:shd w:val="clear" w:color="auto" w:fill="FFFFFF"/>
        </w:rPr>
        <w:t>cen konsumpcyjnych (HICP)</w:t>
      </w:r>
      <w:r w:rsidR="001E7DBB">
        <w:rPr>
          <w:bCs/>
          <w:shd w:val="clear" w:color="auto" w:fill="FFFFFF"/>
        </w:rPr>
        <w:t xml:space="preserve"> </w:t>
      </w:r>
      <w:r w:rsidR="001E7DBB" w:rsidRPr="007D5668">
        <w:rPr>
          <w:shd w:val="clear" w:color="auto" w:fill="FFFFFF"/>
        </w:rPr>
        <w:t>(zmiana w % do analogicznego okresu</w:t>
      </w:r>
      <w:r w:rsidR="001E7DBB">
        <w:rPr>
          <w:shd w:val="clear" w:color="auto" w:fill="FFFFFF"/>
        </w:rPr>
        <w:t xml:space="preserve"> roku poprzedniego)</w:t>
      </w:r>
    </w:p>
    <w:p w:rsidR="00820461" w:rsidRDefault="00511F19">
      <w:pPr>
        <w:spacing w:before="0" w:after="160" w:line="259" w:lineRule="auto"/>
        <w:rPr>
          <w:b/>
          <w:noProof/>
          <w:sz w:val="18"/>
          <w:szCs w:val="19"/>
          <w:lang w:eastAsia="pl-PL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788288" behindDoc="0" locked="0" layoutInCell="1" allowOverlap="1" wp14:anchorId="6B5C9167" wp14:editId="5942FFB2">
            <wp:simplePos x="0" y="0"/>
            <wp:positionH relativeFrom="column">
              <wp:align>left</wp:align>
            </wp:positionH>
            <wp:positionV relativeFrom="line">
              <wp:posOffset>36195</wp:posOffset>
            </wp:positionV>
            <wp:extent cx="5052623" cy="2592000"/>
            <wp:effectExtent l="0" t="0" r="0" b="0"/>
            <wp:wrapSquare wrapText="bothSides"/>
            <wp:docPr id="20" name="Wykres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461">
        <w:rPr>
          <w:sz w:val="18"/>
        </w:rPr>
        <w:br w:type="page"/>
      </w:r>
    </w:p>
    <w:p w:rsidR="00516A50" w:rsidRDefault="00516A50" w:rsidP="00516A50">
      <w:pPr>
        <w:pStyle w:val="LID"/>
        <w:rPr>
          <w:bCs/>
          <w:sz w:val="18"/>
          <w:shd w:val="clear" w:color="auto" w:fill="FFFFFF"/>
        </w:rPr>
      </w:pPr>
      <w:r w:rsidRPr="00F90BB1">
        <w:rPr>
          <w:sz w:val="18"/>
        </w:rPr>
        <w:lastRenderedPageBreak/>
        <w:t xml:space="preserve">Tablica </w:t>
      </w:r>
      <w:r w:rsidR="00CF08EF">
        <w:rPr>
          <w:sz w:val="18"/>
        </w:rPr>
        <w:t>2</w:t>
      </w:r>
      <w:r w:rsidRPr="00F90BB1">
        <w:rPr>
          <w:sz w:val="18"/>
        </w:rPr>
        <w:t>.</w:t>
      </w:r>
      <w:r w:rsidRPr="00F90BB1">
        <w:rPr>
          <w:sz w:val="18"/>
          <w:shd w:val="clear" w:color="auto" w:fill="FFFFFF"/>
        </w:rPr>
        <w:t xml:space="preserve"> </w:t>
      </w:r>
      <w:r w:rsidRPr="00F90BB1">
        <w:rPr>
          <w:bCs/>
          <w:sz w:val="18"/>
          <w:shd w:val="clear" w:color="auto" w:fill="FFFFFF"/>
        </w:rPr>
        <w:t xml:space="preserve">Wskaźniki cen towarów i usług konsumpcyjnych w </w:t>
      </w:r>
      <w:r w:rsidR="0004015D">
        <w:rPr>
          <w:bCs/>
          <w:sz w:val="18"/>
          <w:shd w:val="clear" w:color="auto" w:fill="FFFFFF"/>
        </w:rPr>
        <w:t>marcu</w:t>
      </w:r>
      <w:r w:rsidRPr="00F90BB1">
        <w:rPr>
          <w:sz w:val="18"/>
        </w:rPr>
        <w:t xml:space="preserve"> 201</w:t>
      </w:r>
      <w:r w:rsidR="00C27D75" w:rsidRPr="00F90BB1">
        <w:rPr>
          <w:sz w:val="18"/>
        </w:rPr>
        <w:t>8</w:t>
      </w:r>
      <w:r w:rsidRPr="00F90BB1">
        <w:rPr>
          <w:sz w:val="18"/>
        </w:rPr>
        <w:t> </w:t>
      </w:r>
      <w:r w:rsidRPr="00F90BB1">
        <w:rPr>
          <w:bCs/>
          <w:sz w:val="18"/>
          <w:shd w:val="clear" w:color="auto" w:fill="FFFFFF"/>
        </w:rPr>
        <w:t>r.</w:t>
      </w:r>
    </w:p>
    <w:p w:rsidR="009E3FA7" w:rsidRDefault="009E3FA7" w:rsidP="00516A50">
      <w:pPr>
        <w:pStyle w:val="LID"/>
        <w:rPr>
          <w:bCs/>
          <w:sz w:val="18"/>
          <w:shd w:val="clear" w:color="auto" w:fill="FFFFFF"/>
        </w:rPr>
      </w:pPr>
    </w:p>
    <w:tbl>
      <w:tblPr>
        <w:tblW w:w="81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972"/>
        <w:gridCol w:w="972"/>
        <w:gridCol w:w="979"/>
        <w:gridCol w:w="972"/>
        <w:gridCol w:w="973"/>
        <w:gridCol w:w="21"/>
      </w:tblGrid>
      <w:tr w:rsidR="00A93892" w:rsidRPr="00A93892" w:rsidTr="0026302B">
        <w:trPr>
          <w:cantSplit/>
          <w:trHeight w:val="315"/>
          <w:tblHeader/>
        </w:trPr>
        <w:tc>
          <w:tcPr>
            <w:tcW w:w="3259" w:type="dxa"/>
            <w:vMerge w:val="restart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93892" w:rsidRPr="00A93892" w:rsidRDefault="00A93892" w:rsidP="00A93892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93892" w:rsidRPr="00A93892" w:rsidRDefault="00A93892" w:rsidP="00A93892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Calibri"/>
                <w:sz w:val="16"/>
                <w:szCs w:val="16"/>
                <w:lang w:eastAsia="pl-PL"/>
              </w:rPr>
              <w:t>III 2018</w:t>
            </w:r>
          </w:p>
        </w:tc>
        <w:tc>
          <w:tcPr>
            <w:tcW w:w="1966" w:type="dxa"/>
            <w:gridSpan w:val="3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93892" w:rsidRPr="00A93892" w:rsidRDefault="00A93892" w:rsidP="00A93892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Calibri"/>
                <w:sz w:val="16"/>
                <w:szCs w:val="16"/>
                <w:lang w:eastAsia="pl-PL"/>
              </w:rPr>
              <w:t>I-III 2018</w:t>
            </w:r>
          </w:p>
        </w:tc>
      </w:tr>
      <w:tr w:rsidR="00A93892" w:rsidRPr="00A93892" w:rsidTr="0026302B">
        <w:trPr>
          <w:gridAfter w:val="1"/>
          <w:wAfter w:w="21" w:type="dxa"/>
          <w:cantSplit/>
          <w:trHeight w:val="465"/>
          <w:tblHeader/>
        </w:trPr>
        <w:tc>
          <w:tcPr>
            <w:tcW w:w="3259" w:type="dxa"/>
            <w:vMerge/>
            <w:tcBorders>
              <w:top w:val="nil"/>
              <w:left w:val="nil"/>
              <w:bottom w:val="single" w:sz="12" w:space="0" w:color="212492"/>
              <w:right w:val="single" w:sz="8" w:space="0" w:color="212492"/>
            </w:tcBorders>
            <w:vAlign w:val="center"/>
            <w:hideMark/>
          </w:tcPr>
          <w:p w:rsidR="00A93892" w:rsidRPr="00A93892" w:rsidRDefault="00A93892" w:rsidP="00A93892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A93892" w:rsidRPr="00A93892" w:rsidRDefault="00A93892" w:rsidP="001F60D1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Calibri"/>
                <w:sz w:val="16"/>
                <w:szCs w:val="16"/>
                <w:lang w:eastAsia="pl-PL"/>
              </w:rPr>
              <w:t>III 201</w:t>
            </w:r>
            <w:r w:rsidR="001F60D1">
              <w:rPr>
                <w:rFonts w:eastAsia="Times New Roman" w:cs="Calibri"/>
                <w:sz w:val="16"/>
                <w:szCs w:val="16"/>
                <w:lang w:eastAsia="pl-PL"/>
              </w:rPr>
              <w:t>7</w:t>
            </w:r>
            <w:r w:rsidRPr="00A93892">
              <w:rPr>
                <w:rFonts w:eastAsia="Times New Roman" w:cs="Calibri"/>
                <w:sz w:val="16"/>
                <w:szCs w:val="16"/>
                <w:lang w:eastAsia="pl-PL"/>
              </w:rPr>
              <w:t>=</w:t>
            </w:r>
            <w:r w:rsidR="0004015D">
              <w:rPr>
                <w:rFonts w:eastAsia="Times New Roman" w:cs="Calibri"/>
                <w:sz w:val="16"/>
                <w:szCs w:val="16"/>
                <w:lang w:eastAsia="pl-PL"/>
              </w:rPr>
              <w:br/>
              <w:t>=</w:t>
            </w:r>
            <w:r w:rsidRPr="00A93892">
              <w:rPr>
                <w:rFonts w:eastAsia="Times New Roman" w:cs="Calibri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972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A93892" w:rsidRPr="00A93892" w:rsidRDefault="00A93892" w:rsidP="00A93892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Calibri"/>
                <w:sz w:val="16"/>
                <w:szCs w:val="16"/>
                <w:lang w:eastAsia="pl-PL"/>
              </w:rPr>
              <w:t>XII 2017=</w:t>
            </w:r>
            <w:r w:rsidR="0004015D">
              <w:rPr>
                <w:rFonts w:eastAsia="Times New Roman" w:cs="Calibri"/>
                <w:sz w:val="16"/>
                <w:szCs w:val="16"/>
                <w:lang w:eastAsia="pl-PL"/>
              </w:rPr>
              <w:br/>
              <w:t>=</w:t>
            </w:r>
            <w:r w:rsidRPr="00A93892">
              <w:rPr>
                <w:rFonts w:eastAsia="Times New Roman" w:cs="Calibri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979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A93892" w:rsidRPr="00A93892" w:rsidRDefault="00A93892" w:rsidP="00A93892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Calibri"/>
                <w:sz w:val="16"/>
                <w:szCs w:val="16"/>
                <w:lang w:eastAsia="pl-PL"/>
              </w:rPr>
              <w:t>II 2018=</w:t>
            </w:r>
            <w:r w:rsidR="0004015D">
              <w:rPr>
                <w:rFonts w:eastAsia="Times New Roman" w:cs="Calibri"/>
                <w:sz w:val="16"/>
                <w:szCs w:val="16"/>
                <w:lang w:eastAsia="pl-PL"/>
              </w:rPr>
              <w:br/>
              <w:t>=</w:t>
            </w:r>
            <w:r w:rsidRPr="00A93892">
              <w:rPr>
                <w:rFonts w:eastAsia="Times New Roman" w:cs="Calibri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972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A93892" w:rsidRPr="00A93892" w:rsidRDefault="00A93892" w:rsidP="00A93892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Calibri"/>
                <w:sz w:val="16"/>
                <w:szCs w:val="16"/>
                <w:lang w:eastAsia="pl-PL"/>
              </w:rPr>
              <w:t>I-III 2017= =100</w:t>
            </w:r>
          </w:p>
        </w:tc>
        <w:tc>
          <w:tcPr>
            <w:tcW w:w="973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A93892" w:rsidRPr="00A93892" w:rsidRDefault="00A93892" w:rsidP="00A93892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Calibri"/>
                <w:sz w:val="16"/>
                <w:szCs w:val="16"/>
                <w:lang w:eastAsia="pl-PL"/>
              </w:rPr>
              <w:t>X-XII 2017= =100</w:t>
            </w:r>
          </w:p>
        </w:tc>
      </w:tr>
      <w:tr w:rsidR="00917CCF" w:rsidRPr="00A93892" w:rsidTr="00917CCF">
        <w:trPr>
          <w:gridAfter w:val="1"/>
          <w:wAfter w:w="21" w:type="dxa"/>
          <w:trHeight w:val="330"/>
        </w:trPr>
        <w:tc>
          <w:tcPr>
            <w:tcW w:w="3259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972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972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79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972" w:type="dxa"/>
            <w:tcBorders>
              <w:top w:val="single" w:sz="12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973" w:type="dxa"/>
            <w:tcBorders>
              <w:top w:val="single" w:sz="12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Towary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972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79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972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973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97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79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97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97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</w:tr>
      <w:tr w:rsidR="00917CCF" w:rsidRPr="00A93892" w:rsidTr="00917CCF">
        <w:trPr>
          <w:gridAfter w:val="1"/>
          <w:wAfter w:w="21" w:type="dxa"/>
          <w:trHeight w:val="46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t xml:space="preserve">Żywność, napoje bezalkoholowe </w:t>
            </w:r>
            <w:r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br/>
              <w:t>i </w:t>
            </w:r>
            <w:r w:rsidRPr="00A93892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t>alkoholowe oraz wyroby tytoniowe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97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79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97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  <w:tc>
          <w:tcPr>
            <w:tcW w:w="97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ŻYWNOŚĆ I NAPOJE BEZALKOHOLOWE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97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79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97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  <w:tc>
          <w:tcPr>
            <w:tcW w:w="97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Żywność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  <w:tc>
          <w:tcPr>
            <w:tcW w:w="97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79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97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97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Ryż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97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Mąka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7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Pieczywo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104,5</w:t>
            </w:r>
          </w:p>
        </w:tc>
        <w:tc>
          <w:tcPr>
            <w:tcW w:w="97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Makarony i produkty makaronowe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973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7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  <w:tc>
          <w:tcPr>
            <w:tcW w:w="97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</w:tr>
      <w:tr w:rsidR="00A93892" w:rsidRPr="00A93892" w:rsidTr="0026302B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93892" w:rsidRPr="00A93892" w:rsidRDefault="00A93892" w:rsidP="00A93892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93892" w:rsidRPr="00A93892" w:rsidRDefault="00A93892" w:rsidP="00A93892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93892" w:rsidRPr="00A93892" w:rsidRDefault="00A93892" w:rsidP="00A93892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93892" w:rsidRPr="00A93892" w:rsidRDefault="00A93892" w:rsidP="00A93892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93892" w:rsidRPr="00A93892" w:rsidRDefault="00A93892" w:rsidP="00A93892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93892" w:rsidRPr="00A93892" w:rsidRDefault="00A93892" w:rsidP="00A93892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wołowe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97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cielęce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97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wieprzowe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97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98,2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drobiowe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105,4</w:t>
            </w:r>
          </w:p>
        </w:tc>
        <w:tc>
          <w:tcPr>
            <w:tcW w:w="97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Wędliny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104,3</w:t>
            </w:r>
          </w:p>
        </w:tc>
        <w:tc>
          <w:tcPr>
            <w:tcW w:w="97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Ryby i owoce morza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97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Mleko, sery i jaja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109,0</w:t>
            </w:r>
          </w:p>
        </w:tc>
        <w:tc>
          <w:tcPr>
            <w:tcW w:w="97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</w:tr>
      <w:tr w:rsidR="00917CCF" w:rsidRPr="00A93892" w:rsidTr="00917CCF">
        <w:trPr>
          <w:gridAfter w:val="1"/>
          <w:wAfter w:w="21" w:type="dxa"/>
          <w:trHeight w:val="300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ind w:left="34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Jogurt, śmietana, napoje </w:t>
            </w:r>
            <w:r w:rsidR="00942DC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</w: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 desery mleczne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Sery i twarogi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97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97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Jaja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131,1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92,4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136,6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106,5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Oleje i tłuszcze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112,1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96,4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roślinne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zwierzęce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119,6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121,7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94,2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ind w:firstLineChars="300" w:firstLine="48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masło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120,8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93,7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123,0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93,7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Owoce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112,0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108,6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Warzywa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108,4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Cukier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69,9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85,5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73,7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84,8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bezalkoholowe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Kawa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Herbata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Kakao i czekolada w proszku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Wody mineralne lub źródlane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Soki owocowe i warzywne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</w:tr>
      <w:tr w:rsidR="00917CCF" w:rsidRPr="00A93892" w:rsidTr="009E3FA7">
        <w:trPr>
          <w:gridAfter w:val="1"/>
          <w:wAfter w:w="21" w:type="dxa"/>
          <w:cantSplit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E3FA7">
            <w:pPr>
              <w:spacing w:before="4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 xml:space="preserve">NAPOJE ALKOHOLOWE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WYROBY </w:t>
            </w: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TYTONIOWE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alkoholowe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tytoniowe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 I OBUWIE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94,9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94,8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Obuwie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94,7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MIESZKANIE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</w:tr>
      <w:tr w:rsidR="00917CCF" w:rsidRPr="00A93892" w:rsidTr="00917CCF">
        <w:trPr>
          <w:gridAfter w:val="1"/>
          <w:wAfter w:w="21" w:type="dxa"/>
          <w:trHeight w:val="46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UŻ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YTKOWANIE MIESZKANIA LUB DOMU I </w:t>
            </w: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NOŚNIKI ENERGII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Opłaty na rzecz właścicieli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Zaopatrywanie w wodę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Wywóz śmieci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kanalizacyjne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Nośniki energii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elektryczna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Opał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cieplna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</w:tr>
      <w:tr w:rsidR="00917CCF" w:rsidRPr="00A93892" w:rsidTr="00917CCF">
        <w:trPr>
          <w:gridAfter w:val="1"/>
          <w:wAfter w:w="21" w:type="dxa"/>
          <w:trHeight w:val="465"/>
        </w:trPr>
        <w:tc>
          <w:tcPr>
            <w:tcW w:w="325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WYPOSAŻENIE MIESZKANIA I PROWADZENIE GOSPODARSTWA DOMOWEGO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17CCF" w:rsidRPr="00A93892" w:rsidTr="00917CCF">
        <w:trPr>
          <w:gridAfter w:val="1"/>
          <w:wAfter w:w="21" w:type="dxa"/>
          <w:trHeight w:val="46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Mebl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e, artykuły dekoracyjne, </w:t>
            </w:r>
            <w:r w:rsidR="00942DC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sprzęt </w:t>
            </w: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oświetleniowy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Urządzenia gospodarstwa domowego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czyszczące i konserwujące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</w:tr>
      <w:tr w:rsidR="00917CCF" w:rsidRPr="00A93892" w:rsidTr="00917CCF">
        <w:trPr>
          <w:gridAfter w:val="1"/>
          <w:wAfter w:w="21" w:type="dxa"/>
          <w:trHeight w:val="46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ane z prowadzeniem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gospodarstwa </w:t>
            </w: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domowego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ZDROWIE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farmaceutyczne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Urządzenia i sprzęt terapeutyczny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lekarskie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stomatologiczne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szpitalne i sanatoryjne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TRANSPORT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samochody osobowe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Paliwa do prywatnych środków transportu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 napędowy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Benzyna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</w:tr>
      <w:tr w:rsidR="00917CCF" w:rsidRPr="00A93892" w:rsidTr="00917CCF">
        <w:trPr>
          <w:gridAfter w:val="1"/>
          <w:wAfter w:w="21" w:type="dxa"/>
          <w:trHeight w:val="46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Gaz ciekły i pozostałe paliwa </w:t>
            </w:r>
            <w:r w:rsidR="00942DC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</w: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do prywatnych środków transportu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91,7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93,6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96,9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Usługi transportowe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96,9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ŁĄCZNOŚĆ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Sprzęt telekomunikacyjny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86,5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86,6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95,9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telekomunikacyjne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REKREACJA I KULTURA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17CCF" w:rsidRPr="00A93892" w:rsidTr="00917CCF">
        <w:trPr>
          <w:gridAfter w:val="1"/>
          <w:wAfter w:w="21" w:type="dxa"/>
          <w:trHeight w:val="300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Sprzęt audiowizualny,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fotograficzny </w:t>
            </w:r>
            <w:r w:rsidR="00942DC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 </w:t>
            </w:r>
            <w:r w:rsidRPr="00A9389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informatyczny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98,9</w:t>
            </w:r>
          </w:p>
        </w:tc>
      </w:tr>
      <w:tr w:rsidR="00917CCF" w:rsidRPr="00A93892" w:rsidTr="00917CCF">
        <w:trPr>
          <w:gridAfter w:val="1"/>
          <w:wAfter w:w="21" w:type="dxa"/>
          <w:trHeight w:val="300"/>
        </w:trPr>
        <w:tc>
          <w:tcPr>
            <w:tcW w:w="325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rekreacją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A9389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kulturą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97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97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17CCF" w:rsidRPr="00A93892" w:rsidTr="00917CCF">
        <w:trPr>
          <w:gridAfter w:val="1"/>
          <w:wAfter w:w="21" w:type="dxa"/>
          <w:trHeight w:val="300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rekreacją i sportem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kulturą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97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97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</w:tr>
      <w:tr w:rsidR="00917CCF" w:rsidRPr="00A93892" w:rsidTr="00917CCF">
        <w:trPr>
          <w:gridAfter w:val="1"/>
          <w:wAfter w:w="21" w:type="dxa"/>
          <w:trHeight w:val="300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opłaty radiowo-telewizyjne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Książki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94,2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  <w:tc>
          <w:tcPr>
            <w:tcW w:w="97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98,8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93,6</w:t>
            </w:r>
          </w:p>
        </w:tc>
        <w:tc>
          <w:tcPr>
            <w:tcW w:w="97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Gazety i czasopisma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Artykuły piśmienne, malarskie, kreślarskie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 w kraju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 za granicą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EDUKACJA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7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97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RESTAURACJE I HOTELE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INNE TOWARY I USŁUGI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Higiena osobista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fryzjerskie, kosmety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czne </w:t>
            </w:r>
            <w:r w:rsidR="00942DC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 </w:t>
            </w: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pielęgnacyjne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Artykuły do higieny osobistej </w:t>
            </w:r>
            <w:r w:rsidR="00942DC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 </w:t>
            </w: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kosmetyki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7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97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Opieka społeczna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97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97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</w:tr>
      <w:tr w:rsidR="00917CCF" w:rsidRPr="00A93892" w:rsidTr="00917CCF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97,8</w:t>
            </w:r>
          </w:p>
        </w:tc>
      </w:tr>
      <w:tr w:rsidR="00917CCF" w:rsidRPr="00A93892" w:rsidTr="00917CCF">
        <w:trPr>
          <w:gridAfter w:val="1"/>
          <w:wAfter w:w="21" w:type="dxa"/>
          <w:trHeight w:val="450"/>
        </w:trPr>
        <w:tc>
          <w:tcPr>
            <w:tcW w:w="325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A93892" w:rsidRDefault="00917CCF" w:rsidP="00917CC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fin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ansowe świadczone przez banki i </w:t>
            </w:r>
            <w:r w:rsidRPr="00A938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inne instytucje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85,7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89,9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90,5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CCF" w:rsidRPr="00917CCF" w:rsidRDefault="00917CCF" w:rsidP="00917CC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17CC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93,2</w:t>
            </w:r>
          </w:p>
        </w:tc>
      </w:tr>
    </w:tbl>
    <w:p w:rsidR="001A78D0" w:rsidRDefault="001A78D0" w:rsidP="00516A50">
      <w:pPr>
        <w:pStyle w:val="LID"/>
        <w:rPr>
          <w:bCs/>
          <w:sz w:val="18"/>
          <w:shd w:val="clear" w:color="auto" w:fill="FFFFFF"/>
        </w:rPr>
      </w:pPr>
    </w:p>
    <w:p w:rsidR="001A78D0" w:rsidRDefault="001A78D0" w:rsidP="00516A50">
      <w:pPr>
        <w:pStyle w:val="LID"/>
        <w:rPr>
          <w:bCs/>
          <w:sz w:val="18"/>
          <w:shd w:val="clear" w:color="auto" w:fill="FFFFFF"/>
        </w:rPr>
      </w:pPr>
    </w:p>
    <w:p w:rsidR="001A78D0" w:rsidRDefault="001A78D0" w:rsidP="00516A50">
      <w:pPr>
        <w:pStyle w:val="LID"/>
        <w:rPr>
          <w:bCs/>
          <w:sz w:val="18"/>
          <w:shd w:val="clear" w:color="auto" w:fill="FFFFFF"/>
        </w:rPr>
      </w:pPr>
    </w:p>
    <w:p w:rsidR="001A78D0" w:rsidRDefault="001A78D0" w:rsidP="00516A50">
      <w:pPr>
        <w:pStyle w:val="LID"/>
        <w:rPr>
          <w:bCs/>
          <w:sz w:val="18"/>
          <w:shd w:val="clear" w:color="auto" w:fill="FFFFFF"/>
        </w:rPr>
      </w:pPr>
    </w:p>
    <w:p w:rsidR="001A78D0" w:rsidRDefault="001A78D0" w:rsidP="00516A50">
      <w:pPr>
        <w:pStyle w:val="LID"/>
        <w:rPr>
          <w:bCs/>
          <w:sz w:val="18"/>
          <w:shd w:val="clear" w:color="auto" w:fill="FFFFFF"/>
        </w:rPr>
      </w:pPr>
    </w:p>
    <w:p w:rsidR="001A78D0" w:rsidRPr="00F90BB1" w:rsidRDefault="001A78D0" w:rsidP="00516A50">
      <w:pPr>
        <w:pStyle w:val="LID"/>
        <w:rPr>
          <w:sz w:val="18"/>
          <w:shd w:val="clear" w:color="auto" w:fill="FFFFFF"/>
        </w:rPr>
      </w:pPr>
    </w:p>
    <w:p w:rsidR="00DF712D" w:rsidRDefault="00DF712D" w:rsidP="00883763">
      <w:pPr>
        <w:spacing w:before="0" w:after="160" w:line="259" w:lineRule="auto"/>
      </w:pPr>
    </w:p>
    <w:p w:rsidR="00685123" w:rsidRPr="00883763" w:rsidRDefault="00685123" w:rsidP="00883763">
      <w:pPr>
        <w:spacing w:before="0" w:after="160" w:line="259" w:lineRule="auto"/>
        <w:rPr>
          <w:b/>
          <w:noProof/>
          <w:szCs w:val="19"/>
          <w:lang w:eastAsia="pl-PL"/>
        </w:rPr>
        <w:sectPr w:rsidR="00685123" w:rsidRPr="00883763" w:rsidSect="00EF7B36">
          <w:headerReference w:type="default" r:id="rId19"/>
          <w:footerReference w:type="default" r:id="rId20"/>
          <w:headerReference w:type="first" r:id="rId21"/>
          <w:footerReference w:type="first" r:id="rId22"/>
          <w:footnotePr>
            <w:numFmt w:val="lowerLetter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8"/>
        <w:gridCol w:w="3925"/>
      </w:tblGrid>
      <w:tr w:rsidR="00883763" w:rsidRPr="00BC17C7" w:rsidTr="00EE696D">
        <w:trPr>
          <w:trHeight w:val="1912"/>
        </w:trPr>
        <w:tc>
          <w:tcPr>
            <w:tcW w:w="4379" w:type="dxa"/>
          </w:tcPr>
          <w:p w:rsidR="00883763" w:rsidRPr="008F3638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883763" w:rsidRPr="008F3638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>
              <w:rPr>
                <w:rFonts w:cs="Arial"/>
                <w:b/>
                <w:color w:val="000000" w:themeColor="text1"/>
                <w:sz w:val="20"/>
              </w:rPr>
              <w:t>Handlu i Usług</w:t>
            </w:r>
          </w:p>
          <w:p w:rsidR="00883763" w:rsidRPr="003A5CC6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US"/>
              </w:rPr>
            </w:pPr>
            <w:r w:rsidRPr="003A5CC6"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US"/>
              </w:rPr>
              <w:t>Anna Bobel</w:t>
            </w:r>
          </w:p>
          <w:p w:rsidR="00883763" w:rsidRPr="008F363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608 35 12</w:t>
            </w:r>
          </w:p>
          <w:p w:rsidR="00883763" w:rsidRPr="008F3638" w:rsidRDefault="00883763" w:rsidP="00EE696D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3A5CC6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r w:rsidRPr="003A5CC6">
              <w:rPr>
                <w:rFonts w:ascii="Fira Sans" w:eastAsiaTheme="minorHAnsi" w:hAnsi="Fira Sans" w:cstheme="minorBidi"/>
                <w:color w:val="1F497D"/>
                <w:sz w:val="18"/>
                <w:szCs w:val="18"/>
                <w:lang w:val="en-US"/>
              </w:rPr>
              <w:t xml:space="preserve"> </w:t>
            </w:r>
            <w:hyperlink r:id="rId23" w:history="1">
              <w:r w:rsidRPr="0029606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a.bobel@stat.gov.pl</w:t>
              </w:r>
            </w:hyperlink>
          </w:p>
        </w:tc>
        <w:tc>
          <w:tcPr>
            <w:tcW w:w="3942" w:type="dxa"/>
          </w:tcPr>
          <w:p w:rsidR="00883763" w:rsidRPr="008F3638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83763" w:rsidRPr="008F363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883763" w:rsidRPr="008F363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75, 22 608 30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09</w:t>
            </w:r>
          </w:p>
          <w:p w:rsidR="00883763" w:rsidRPr="008F363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4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685123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C91687" w:rsidRDefault="000470AA" w:rsidP="000470AA">
            <w:pPr>
              <w:rPr>
                <w:sz w:val="20"/>
              </w:rPr>
            </w:pPr>
            <w:r w:rsidRPr="00C91687">
              <w:rPr>
                <w:b/>
                <w:sz w:val="20"/>
              </w:rPr>
              <w:t xml:space="preserve">tel.: </w:t>
            </w:r>
            <w:r w:rsidR="00097840">
              <w:rPr>
                <w:sz w:val="20"/>
              </w:rPr>
              <w:t>22 608 34 91, 22</w:t>
            </w:r>
            <w:r w:rsidRPr="00C91687">
              <w:rPr>
                <w:sz w:val="20"/>
              </w:rPr>
              <w:t xml:space="preserve"> 608 38 04 </w:t>
            </w:r>
          </w:p>
          <w:p w:rsidR="000470AA" w:rsidRPr="00685123" w:rsidRDefault="000470AA" w:rsidP="000470AA">
            <w:pPr>
              <w:rPr>
                <w:sz w:val="20"/>
                <w:lang w:val="en-US"/>
              </w:rPr>
            </w:pPr>
            <w:proofErr w:type="spellStart"/>
            <w:r w:rsidRPr="00685123">
              <w:rPr>
                <w:b/>
                <w:sz w:val="20"/>
                <w:lang w:val="en-US"/>
              </w:rPr>
              <w:t>faks</w:t>
            </w:r>
            <w:proofErr w:type="spellEnd"/>
            <w:r w:rsidRPr="00685123">
              <w:rPr>
                <w:b/>
                <w:sz w:val="20"/>
                <w:lang w:val="en-US"/>
              </w:rPr>
              <w:t>:</w:t>
            </w:r>
            <w:r w:rsidR="00097840" w:rsidRPr="00685123">
              <w:rPr>
                <w:sz w:val="20"/>
                <w:lang w:val="en-US"/>
              </w:rPr>
              <w:t xml:space="preserve"> 22</w:t>
            </w:r>
            <w:r w:rsidRPr="00685123">
              <w:rPr>
                <w:sz w:val="20"/>
                <w:lang w:val="en-US"/>
              </w:rPr>
              <w:t xml:space="preserve"> 608 38 86 </w:t>
            </w:r>
          </w:p>
          <w:p w:rsidR="000470AA" w:rsidRPr="00685123" w:rsidRDefault="000470AA" w:rsidP="000470AA">
            <w:pPr>
              <w:rPr>
                <w:sz w:val="18"/>
                <w:lang w:val="en-US"/>
              </w:rPr>
            </w:pPr>
            <w:r w:rsidRPr="00685123">
              <w:rPr>
                <w:b/>
                <w:sz w:val="20"/>
                <w:lang w:val="en-US"/>
              </w:rPr>
              <w:t>e-mail:</w:t>
            </w:r>
            <w:r w:rsidRPr="00685123">
              <w:rPr>
                <w:sz w:val="20"/>
                <w:lang w:val="en-US"/>
              </w:rPr>
              <w:t xml:space="preserve"> </w:t>
            </w:r>
            <w:hyperlink r:id="rId25" w:history="1">
              <w:r w:rsidRPr="00685123">
                <w:rPr>
                  <w:rStyle w:val="Hipercze"/>
                  <w:rFonts w:cstheme="minorBidi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685123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732992" behindDoc="0" locked="0" layoutInCell="1" allowOverlap="1" wp14:anchorId="7A58436D" wp14:editId="271F9ECA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735040" behindDoc="0" locked="0" layoutInCell="1" allowOverlap="1" wp14:anchorId="031B7E55" wp14:editId="50CA3947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734016" behindDoc="0" locked="0" layoutInCell="1" allowOverlap="1" wp14:anchorId="79042DB0" wp14:editId="3059A210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:rsidR="00D261A2" w:rsidRPr="00001C5B" w:rsidRDefault="005D1C04" w:rsidP="00E76D26">
      <w:pPr>
        <w:rPr>
          <w:sz w:val="18"/>
        </w:rPr>
      </w:pPr>
      <w:r>
        <w:rPr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79AB13A7" wp14:editId="331DF7B0">
                <wp:simplePos x="0" y="0"/>
                <wp:positionH relativeFrom="margin">
                  <wp:posOffset>19050</wp:posOffset>
                </wp:positionH>
                <wp:positionV relativeFrom="paragraph">
                  <wp:posOffset>440690</wp:posOffset>
                </wp:positionV>
                <wp:extent cx="6559550" cy="4443095"/>
                <wp:effectExtent l="0" t="0" r="12700" b="14605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B23" w:rsidRDefault="00682B23" w:rsidP="00883763">
                            <w:pPr>
                              <w:rPr>
                                <w:b/>
                              </w:rPr>
                            </w:pPr>
                          </w:p>
                          <w:p w:rsidR="00682B23" w:rsidRPr="006761A7" w:rsidRDefault="00682B23" w:rsidP="00883763">
                            <w:pPr>
                              <w:rPr>
                                <w:b/>
                              </w:rPr>
                            </w:pPr>
                            <w:r w:rsidRPr="006761A7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682B23" w:rsidRPr="006761A7" w:rsidRDefault="00BC17C7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682B23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Komunikaty i obwieszczenia Prezesa GUS</w:t>
                              </w:r>
                            </w:hyperlink>
                          </w:p>
                          <w:p w:rsidR="00682B23" w:rsidRPr="006761A7" w:rsidRDefault="00BC17C7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682B23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</w:p>
                          <w:p w:rsidR="00682B23" w:rsidRPr="00E233EA" w:rsidRDefault="00682B23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682B23" w:rsidRPr="00E233EA" w:rsidRDefault="00682B23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E233EA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682B23" w:rsidRPr="006761A7" w:rsidRDefault="00BC17C7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682B23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(DBW) Ceny</w:t>
                              </w:r>
                            </w:hyperlink>
                          </w:p>
                          <w:p w:rsidR="00682B23" w:rsidRPr="006761A7" w:rsidRDefault="00BC17C7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682B23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682B23" w:rsidRPr="006761A7" w:rsidRDefault="00BC17C7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682B23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 (BDL)</w:t>
                              </w:r>
                            </w:hyperlink>
                          </w:p>
                          <w:p w:rsidR="00682B23" w:rsidRPr="006761A7" w:rsidRDefault="00BC17C7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682B23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Ceny. Handel)</w:t>
                              </w:r>
                            </w:hyperlink>
                          </w:p>
                          <w:p w:rsidR="00682B23" w:rsidRPr="006761A7" w:rsidRDefault="00BC17C7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5" w:history="1">
                              <w:r w:rsidR="00682B23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Ceny (Obszary tematyczne: Ceny. Handel)</w:t>
                              </w:r>
                            </w:hyperlink>
                          </w:p>
                          <w:p w:rsidR="00682B23" w:rsidRPr="006761A7" w:rsidRDefault="00682B23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682B23" w:rsidRDefault="00682B23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682B23" w:rsidRPr="006761A7" w:rsidRDefault="00BC17C7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6" w:history="1">
                              <w:r w:rsidR="00682B23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towarów i usług konsumpcyjnych</w:t>
                              </w:r>
                            </w:hyperlink>
                          </w:p>
                          <w:p w:rsidR="00682B23" w:rsidRPr="00E233EA" w:rsidRDefault="00BC17C7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  <w:lang w:val="en-US"/>
                              </w:rPr>
                            </w:pPr>
                            <w:hyperlink r:id="rId37" w:history="1">
                              <w:proofErr w:type="spellStart"/>
                              <w:r w:rsidR="00682B23" w:rsidRPr="00E233E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  <w:lang w:val="en-US"/>
                                </w:rPr>
                                <w:t>Cena</w:t>
                              </w:r>
                              <w:proofErr w:type="spellEnd"/>
                              <w:r w:rsidR="00682B23" w:rsidRPr="00E233E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682B23" w:rsidRPr="00E233E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  <w:lang w:val="en-US"/>
                                </w:rPr>
                                <w:t>detaliczna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2" type="#_x0000_t202" style="position:absolute;margin-left:1.5pt;margin-top:34.7pt;width:516.5pt;height:349.8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" fillcolor="#f2f2f2 [3052]" strokecolor="white [3212]">
                <v:textbox>
                  <w:txbxContent>
                    <w:p w:rsidR="00682B23" w:rsidRDefault="00682B23" w:rsidP="00883763">
                      <w:pPr>
                        <w:rPr>
                          <w:b/>
                        </w:rPr>
                      </w:pPr>
                    </w:p>
                    <w:p w:rsidR="00682B23" w:rsidRPr="006761A7" w:rsidRDefault="00682B23" w:rsidP="00883763">
                      <w:pPr>
                        <w:rPr>
                          <w:b/>
                        </w:rPr>
                      </w:pPr>
                      <w:r w:rsidRPr="006761A7">
                        <w:rPr>
                          <w:b/>
                        </w:rPr>
                        <w:t>Powiązane opracowania</w:t>
                      </w:r>
                    </w:p>
                    <w:p w:rsidR="00682B23" w:rsidRPr="006761A7" w:rsidRDefault="00493217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682B23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Komunikaty i obwieszczenia Prezesa GUS</w:t>
                        </w:r>
                      </w:hyperlink>
                    </w:p>
                    <w:p w:rsidR="00682B23" w:rsidRPr="006761A7" w:rsidRDefault="00493217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682B23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</w:p>
                    <w:p w:rsidR="00682B23" w:rsidRPr="00E233EA" w:rsidRDefault="00682B23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682B23" w:rsidRPr="00E233EA" w:rsidRDefault="00682B23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E233EA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682B23" w:rsidRPr="006761A7" w:rsidRDefault="00493217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682B23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(DBW) Ceny</w:t>
                        </w:r>
                      </w:hyperlink>
                    </w:p>
                    <w:p w:rsidR="00682B23" w:rsidRPr="006761A7" w:rsidRDefault="00493217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682B23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682B23" w:rsidRPr="006761A7" w:rsidRDefault="00493217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682B23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 (BDL)</w:t>
                        </w:r>
                      </w:hyperlink>
                    </w:p>
                    <w:p w:rsidR="00682B23" w:rsidRPr="006761A7" w:rsidRDefault="00493217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3" w:history="1">
                        <w:r w:rsidR="00682B23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Ceny. Handel)</w:t>
                        </w:r>
                      </w:hyperlink>
                    </w:p>
                    <w:p w:rsidR="00682B23" w:rsidRPr="006761A7" w:rsidRDefault="00493217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4" w:history="1">
                        <w:r w:rsidR="00682B23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Ceny (Obszary tematyczne: Ceny. Handel)</w:t>
                        </w:r>
                      </w:hyperlink>
                    </w:p>
                    <w:p w:rsidR="00682B23" w:rsidRPr="006761A7" w:rsidRDefault="00682B23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682B23" w:rsidRDefault="00682B23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682B23" w:rsidRPr="006761A7" w:rsidRDefault="00493217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5" w:history="1">
                        <w:r w:rsidR="00682B23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towarów i usług konsumpcyjnych</w:t>
                        </w:r>
                      </w:hyperlink>
                    </w:p>
                    <w:p w:rsidR="00682B23" w:rsidRPr="00E233EA" w:rsidRDefault="00493217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  <w:lang w:val="en-US"/>
                        </w:rPr>
                      </w:pPr>
                      <w:hyperlink r:id="rId46" w:history="1">
                        <w:r w:rsidR="00682B23" w:rsidRPr="00E233E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  <w:lang w:val="en-US"/>
                          </w:rPr>
                          <w:t>Cena detaliczna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EF7B36">
      <w:headerReference w:type="default" r:id="rId47"/>
      <w:footerReference w:type="default" r:id="rId48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B23" w:rsidRDefault="00682B23" w:rsidP="000662E2">
      <w:pPr>
        <w:spacing w:after="0" w:line="240" w:lineRule="auto"/>
      </w:pPr>
      <w:r>
        <w:separator/>
      </w:r>
    </w:p>
  </w:endnote>
  <w:endnote w:type="continuationSeparator" w:id="0">
    <w:p w:rsidR="00682B23" w:rsidRDefault="00682B23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altName w:val="DejaVu Sans"/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altName w:val="DejaVu Sans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0487"/>
      <w:docPartObj>
        <w:docPartGallery w:val="Page Numbers (Bottom of Page)"/>
        <w:docPartUnique/>
      </w:docPartObj>
    </w:sdtPr>
    <w:sdtEndPr/>
    <w:sdtContent>
      <w:p w:rsidR="00682B23" w:rsidRDefault="00682B23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7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0488"/>
      <w:docPartObj>
        <w:docPartGallery w:val="Page Numbers (Bottom of Page)"/>
        <w:docPartUnique/>
      </w:docPartObj>
    </w:sdtPr>
    <w:sdtEndPr/>
    <w:sdtContent>
      <w:p w:rsidR="00682B23" w:rsidRDefault="00682B23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7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636839"/>
      <w:docPartObj>
        <w:docPartGallery w:val="Page Numbers (Bottom of Page)"/>
        <w:docPartUnique/>
      </w:docPartObj>
    </w:sdtPr>
    <w:sdtEndPr/>
    <w:sdtContent>
      <w:p w:rsidR="00682B23" w:rsidRDefault="00682B23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7C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B23" w:rsidRDefault="00682B23" w:rsidP="000662E2">
      <w:pPr>
        <w:spacing w:after="0" w:line="240" w:lineRule="auto"/>
      </w:pPr>
      <w:r>
        <w:separator/>
      </w:r>
    </w:p>
  </w:footnote>
  <w:footnote w:type="continuationSeparator" w:id="0">
    <w:p w:rsidR="00682B23" w:rsidRDefault="00682B23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B23" w:rsidRDefault="00682B23">
    <w:pPr>
      <w:pStyle w:val="Nagwek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E4F1AA4" wp14:editId="5BBDD2E7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6518EDA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682B23" w:rsidRDefault="00682B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B23" w:rsidRDefault="00682B23">
    <w:pPr>
      <w:pStyle w:val="Nagwek"/>
      <w:rPr>
        <w:noProof/>
        <w:lang w:eastAsia="pl-PL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C50D325" wp14:editId="63C0E325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7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82B23" w:rsidRPr="003C6C8D" w:rsidRDefault="00682B23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Schemat blokowy: opóźnienie 6" o:spid="_x0000_s1033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ga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7K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waRoGk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682B23" w:rsidRPr="003C6C8D" w:rsidRDefault="00682B23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9D6DED3" wp14:editId="432F436E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BD806C6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aB0mYN8AAAAMAQAADwAAAAAAAAAA&#10;AAAAAAAABQAAZHJzL2Rvd25yZXYueG1sUEsFBgAAAAAEAAQA8wAAAAwGAAAAAA==&#10;" fillcolor="#f2f2f2" stroked="f" strokeweight="1pt">
              <v:path arrowok="t"/>
              <w10:wrap type="tight"/>
            </v:rect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073AB9B1" wp14:editId="72F26FE6">
          <wp:extent cx="2210137" cy="720000"/>
          <wp:effectExtent l="0" t="0" r="0" b="4445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%20jubileuszowe%20wersja%20dla%20GUS%20odmiana%20podstawowa%20wariant%20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13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82B23" w:rsidRDefault="00682B23">
    <w:pPr>
      <w:pStyle w:val="Nagwek"/>
      <w:rPr>
        <w:noProof/>
        <w:lang w:eastAsia="pl-PL"/>
      </w:rPr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9BBB806" wp14:editId="118FA68F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2B23" w:rsidRPr="00C97596" w:rsidRDefault="00682B23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13.04.2018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CIw1m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682B23" w:rsidRPr="00C97596" w:rsidRDefault="00682B23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13.04.2018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B23" w:rsidRDefault="00682B23">
    <w:pPr>
      <w:pStyle w:val="Nagwek"/>
    </w:pPr>
  </w:p>
  <w:p w:rsidR="00682B23" w:rsidRDefault="00682B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3pt;height:125.25pt;visibility:visible" o:bullet="t">
        <v:imagedata r:id="rId1" o:title=""/>
      </v:shape>
    </w:pict>
  </w:numPicBullet>
  <w:numPicBullet w:numPicBulletId="1">
    <w:pict>
      <v:shape id="_x0000_i1027" type="#_x0000_t75" style="width:123.75pt;height:125.25pt;visibility:visible" o:bullet="t">
        <v:imagedata r:id="rId2" o:title=""/>
      </v:shape>
    </w:pict>
  </w:numPicBullet>
  <w:abstractNum w:abstractNumId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87"/>
    <w:rsid w:val="00001C5B"/>
    <w:rsid w:val="00003437"/>
    <w:rsid w:val="0000709F"/>
    <w:rsid w:val="000108B8"/>
    <w:rsid w:val="000152F5"/>
    <w:rsid w:val="00034160"/>
    <w:rsid w:val="0004015D"/>
    <w:rsid w:val="0004582E"/>
    <w:rsid w:val="0004646A"/>
    <w:rsid w:val="000470AA"/>
    <w:rsid w:val="00057CA1"/>
    <w:rsid w:val="000662E2"/>
    <w:rsid w:val="00066883"/>
    <w:rsid w:val="00074DD8"/>
    <w:rsid w:val="000800B4"/>
    <w:rsid w:val="000806F7"/>
    <w:rsid w:val="00097840"/>
    <w:rsid w:val="000A6963"/>
    <w:rsid w:val="000A7F1A"/>
    <w:rsid w:val="000B0727"/>
    <w:rsid w:val="000C135D"/>
    <w:rsid w:val="000D1D43"/>
    <w:rsid w:val="000D225C"/>
    <w:rsid w:val="000D2A5C"/>
    <w:rsid w:val="000E0918"/>
    <w:rsid w:val="001011C3"/>
    <w:rsid w:val="00110D87"/>
    <w:rsid w:val="001149A1"/>
    <w:rsid w:val="00114DB9"/>
    <w:rsid w:val="00116087"/>
    <w:rsid w:val="00130296"/>
    <w:rsid w:val="00132297"/>
    <w:rsid w:val="00135B65"/>
    <w:rsid w:val="00142037"/>
    <w:rsid w:val="001423B6"/>
    <w:rsid w:val="001448A7"/>
    <w:rsid w:val="00146621"/>
    <w:rsid w:val="00162325"/>
    <w:rsid w:val="001951DA"/>
    <w:rsid w:val="001A78D0"/>
    <w:rsid w:val="001C3269"/>
    <w:rsid w:val="001D1DB4"/>
    <w:rsid w:val="001E1D94"/>
    <w:rsid w:val="001E7DBB"/>
    <w:rsid w:val="001F60D1"/>
    <w:rsid w:val="002574F9"/>
    <w:rsid w:val="00262B61"/>
    <w:rsid w:val="0026302B"/>
    <w:rsid w:val="002724FF"/>
    <w:rsid w:val="00275FA6"/>
    <w:rsid w:val="00276811"/>
    <w:rsid w:val="00276C9A"/>
    <w:rsid w:val="00282699"/>
    <w:rsid w:val="00290CB6"/>
    <w:rsid w:val="002926DF"/>
    <w:rsid w:val="00296697"/>
    <w:rsid w:val="002A4D80"/>
    <w:rsid w:val="002B0472"/>
    <w:rsid w:val="002B6B12"/>
    <w:rsid w:val="002D0020"/>
    <w:rsid w:val="002E6140"/>
    <w:rsid w:val="002E6985"/>
    <w:rsid w:val="002E71B6"/>
    <w:rsid w:val="002F77C8"/>
    <w:rsid w:val="00304F22"/>
    <w:rsid w:val="00305162"/>
    <w:rsid w:val="00306C7C"/>
    <w:rsid w:val="00322EDD"/>
    <w:rsid w:val="00332320"/>
    <w:rsid w:val="00347D72"/>
    <w:rsid w:val="00357611"/>
    <w:rsid w:val="00367237"/>
    <w:rsid w:val="0037077F"/>
    <w:rsid w:val="00372411"/>
    <w:rsid w:val="00373882"/>
    <w:rsid w:val="003843DB"/>
    <w:rsid w:val="003901AC"/>
    <w:rsid w:val="00393761"/>
    <w:rsid w:val="00397D18"/>
    <w:rsid w:val="003A1B36"/>
    <w:rsid w:val="003A440F"/>
    <w:rsid w:val="003B1454"/>
    <w:rsid w:val="003B18B6"/>
    <w:rsid w:val="003C59E0"/>
    <w:rsid w:val="003C6C8D"/>
    <w:rsid w:val="003D3B24"/>
    <w:rsid w:val="003D4F95"/>
    <w:rsid w:val="003D5F42"/>
    <w:rsid w:val="003D60A9"/>
    <w:rsid w:val="003F4C97"/>
    <w:rsid w:val="003F7FE6"/>
    <w:rsid w:val="00400193"/>
    <w:rsid w:val="004212E7"/>
    <w:rsid w:val="0042446D"/>
    <w:rsid w:val="00427BF8"/>
    <w:rsid w:val="00431C02"/>
    <w:rsid w:val="00437395"/>
    <w:rsid w:val="00445047"/>
    <w:rsid w:val="00454E14"/>
    <w:rsid w:val="004566AB"/>
    <w:rsid w:val="0045762F"/>
    <w:rsid w:val="004601AC"/>
    <w:rsid w:val="00463E39"/>
    <w:rsid w:val="004657FC"/>
    <w:rsid w:val="004733F6"/>
    <w:rsid w:val="00474E69"/>
    <w:rsid w:val="00493217"/>
    <w:rsid w:val="0049621B"/>
    <w:rsid w:val="004C1895"/>
    <w:rsid w:val="004C6D40"/>
    <w:rsid w:val="004F0C3C"/>
    <w:rsid w:val="004F63FC"/>
    <w:rsid w:val="00501F76"/>
    <w:rsid w:val="00502E6F"/>
    <w:rsid w:val="00505A92"/>
    <w:rsid w:val="00511F19"/>
    <w:rsid w:val="0051646A"/>
    <w:rsid w:val="00516A50"/>
    <w:rsid w:val="005203F1"/>
    <w:rsid w:val="0052058B"/>
    <w:rsid w:val="00521BC3"/>
    <w:rsid w:val="00526A58"/>
    <w:rsid w:val="00533632"/>
    <w:rsid w:val="0053648F"/>
    <w:rsid w:val="00541E6E"/>
    <w:rsid w:val="0054251F"/>
    <w:rsid w:val="005520D8"/>
    <w:rsid w:val="00556CF1"/>
    <w:rsid w:val="005762A7"/>
    <w:rsid w:val="005877DE"/>
    <w:rsid w:val="005916D7"/>
    <w:rsid w:val="005A2784"/>
    <w:rsid w:val="005A698C"/>
    <w:rsid w:val="005C1AF8"/>
    <w:rsid w:val="005D1C04"/>
    <w:rsid w:val="005D470D"/>
    <w:rsid w:val="005E0799"/>
    <w:rsid w:val="005E2757"/>
    <w:rsid w:val="005F4399"/>
    <w:rsid w:val="005F5A80"/>
    <w:rsid w:val="006044FF"/>
    <w:rsid w:val="00607CC5"/>
    <w:rsid w:val="006149F0"/>
    <w:rsid w:val="00633014"/>
    <w:rsid w:val="0063437B"/>
    <w:rsid w:val="006673CA"/>
    <w:rsid w:val="00673C26"/>
    <w:rsid w:val="00674A8B"/>
    <w:rsid w:val="006812AF"/>
    <w:rsid w:val="00682B23"/>
    <w:rsid w:val="0068327D"/>
    <w:rsid w:val="00683EDE"/>
    <w:rsid w:val="00685123"/>
    <w:rsid w:val="00691225"/>
    <w:rsid w:val="00694AF0"/>
    <w:rsid w:val="006A4686"/>
    <w:rsid w:val="006B0E9E"/>
    <w:rsid w:val="006B208D"/>
    <w:rsid w:val="006B20B4"/>
    <w:rsid w:val="006B5AE4"/>
    <w:rsid w:val="006D1507"/>
    <w:rsid w:val="006D4054"/>
    <w:rsid w:val="006D6B72"/>
    <w:rsid w:val="006E02EC"/>
    <w:rsid w:val="007059D5"/>
    <w:rsid w:val="007162EB"/>
    <w:rsid w:val="007211B1"/>
    <w:rsid w:val="0072400B"/>
    <w:rsid w:val="00733D55"/>
    <w:rsid w:val="00746187"/>
    <w:rsid w:val="00752A67"/>
    <w:rsid w:val="00761070"/>
    <w:rsid w:val="0076254F"/>
    <w:rsid w:val="007801F5"/>
    <w:rsid w:val="00783CA4"/>
    <w:rsid w:val="007842FB"/>
    <w:rsid w:val="00786124"/>
    <w:rsid w:val="0078756B"/>
    <w:rsid w:val="00792E24"/>
    <w:rsid w:val="0079514B"/>
    <w:rsid w:val="007A2DC1"/>
    <w:rsid w:val="007B74D8"/>
    <w:rsid w:val="007D3319"/>
    <w:rsid w:val="007D335D"/>
    <w:rsid w:val="007E3314"/>
    <w:rsid w:val="007E4B03"/>
    <w:rsid w:val="007F324B"/>
    <w:rsid w:val="00802A9A"/>
    <w:rsid w:val="0080553C"/>
    <w:rsid w:val="00805B46"/>
    <w:rsid w:val="00820461"/>
    <w:rsid w:val="00820B10"/>
    <w:rsid w:val="0082498D"/>
    <w:rsid w:val="00825DC2"/>
    <w:rsid w:val="00831172"/>
    <w:rsid w:val="00834AD3"/>
    <w:rsid w:val="00843795"/>
    <w:rsid w:val="00847F0F"/>
    <w:rsid w:val="00852448"/>
    <w:rsid w:val="0088258A"/>
    <w:rsid w:val="008832C4"/>
    <w:rsid w:val="00883763"/>
    <w:rsid w:val="00886332"/>
    <w:rsid w:val="008A26D9"/>
    <w:rsid w:val="008B4AE0"/>
    <w:rsid w:val="008C0C29"/>
    <w:rsid w:val="008C7A01"/>
    <w:rsid w:val="008F3638"/>
    <w:rsid w:val="008F4441"/>
    <w:rsid w:val="008F6F31"/>
    <w:rsid w:val="008F74DF"/>
    <w:rsid w:val="009127BA"/>
    <w:rsid w:val="00916782"/>
    <w:rsid w:val="00917CCF"/>
    <w:rsid w:val="009227A6"/>
    <w:rsid w:val="00933B26"/>
    <w:rsid w:val="00933EC1"/>
    <w:rsid w:val="00942DCA"/>
    <w:rsid w:val="009530DB"/>
    <w:rsid w:val="00953676"/>
    <w:rsid w:val="009705EE"/>
    <w:rsid w:val="00971217"/>
    <w:rsid w:val="00977927"/>
    <w:rsid w:val="0098135C"/>
    <w:rsid w:val="0098156A"/>
    <w:rsid w:val="00990133"/>
    <w:rsid w:val="00991BAC"/>
    <w:rsid w:val="009A6EA0"/>
    <w:rsid w:val="009B1399"/>
    <w:rsid w:val="009B746F"/>
    <w:rsid w:val="009C1335"/>
    <w:rsid w:val="009C1AB2"/>
    <w:rsid w:val="009C5407"/>
    <w:rsid w:val="009C7251"/>
    <w:rsid w:val="009E2E91"/>
    <w:rsid w:val="009E3BF4"/>
    <w:rsid w:val="009E3FA7"/>
    <w:rsid w:val="009E410D"/>
    <w:rsid w:val="009F5815"/>
    <w:rsid w:val="00A07F00"/>
    <w:rsid w:val="00A12435"/>
    <w:rsid w:val="00A139F5"/>
    <w:rsid w:val="00A2136A"/>
    <w:rsid w:val="00A34C24"/>
    <w:rsid w:val="00A365F4"/>
    <w:rsid w:val="00A37CE0"/>
    <w:rsid w:val="00A459FF"/>
    <w:rsid w:val="00A460E6"/>
    <w:rsid w:val="00A46BD5"/>
    <w:rsid w:val="00A47937"/>
    <w:rsid w:val="00A47D80"/>
    <w:rsid w:val="00A51BB2"/>
    <w:rsid w:val="00A53132"/>
    <w:rsid w:val="00A563F2"/>
    <w:rsid w:val="00A566E8"/>
    <w:rsid w:val="00A810F9"/>
    <w:rsid w:val="00A86ECC"/>
    <w:rsid w:val="00A86FCC"/>
    <w:rsid w:val="00A93892"/>
    <w:rsid w:val="00AA710D"/>
    <w:rsid w:val="00AB6D25"/>
    <w:rsid w:val="00AD4947"/>
    <w:rsid w:val="00AE20FD"/>
    <w:rsid w:val="00AE2D4B"/>
    <w:rsid w:val="00AE3075"/>
    <w:rsid w:val="00AE4F99"/>
    <w:rsid w:val="00B06265"/>
    <w:rsid w:val="00B11B69"/>
    <w:rsid w:val="00B14952"/>
    <w:rsid w:val="00B31E5A"/>
    <w:rsid w:val="00B322EC"/>
    <w:rsid w:val="00B609CE"/>
    <w:rsid w:val="00B653AB"/>
    <w:rsid w:val="00B65F9E"/>
    <w:rsid w:val="00B66B19"/>
    <w:rsid w:val="00B914E9"/>
    <w:rsid w:val="00B94737"/>
    <w:rsid w:val="00B956EE"/>
    <w:rsid w:val="00B97152"/>
    <w:rsid w:val="00BA2BA1"/>
    <w:rsid w:val="00BA3562"/>
    <w:rsid w:val="00BA5A42"/>
    <w:rsid w:val="00BB4F09"/>
    <w:rsid w:val="00BC17C7"/>
    <w:rsid w:val="00BD4E33"/>
    <w:rsid w:val="00BE4B65"/>
    <w:rsid w:val="00C00EDA"/>
    <w:rsid w:val="00C030DE"/>
    <w:rsid w:val="00C22105"/>
    <w:rsid w:val="00C244B6"/>
    <w:rsid w:val="00C27D75"/>
    <w:rsid w:val="00C3702F"/>
    <w:rsid w:val="00C4500A"/>
    <w:rsid w:val="00C55C91"/>
    <w:rsid w:val="00C64A37"/>
    <w:rsid w:val="00C7158E"/>
    <w:rsid w:val="00C7250B"/>
    <w:rsid w:val="00C7346B"/>
    <w:rsid w:val="00C73B5E"/>
    <w:rsid w:val="00C77C0E"/>
    <w:rsid w:val="00C8000E"/>
    <w:rsid w:val="00C91687"/>
    <w:rsid w:val="00C924A8"/>
    <w:rsid w:val="00C945FE"/>
    <w:rsid w:val="00C950B4"/>
    <w:rsid w:val="00C96FAA"/>
    <w:rsid w:val="00C97A04"/>
    <w:rsid w:val="00CA107B"/>
    <w:rsid w:val="00CA484D"/>
    <w:rsid w:val="00CA4FB6"/>
    <w:rsid w:val="00CC739E"/>
    <w:rsid w:val="00CD1E2E"/>
    <w:rsid w:val="00CD58B7"/>
    <w:rsid w:val="00CF08EF"/>
    <w:rsid w:val="00CF4099"/>
    <w:rsid w:val="00D00796"/>
    <w:rsid w:val="00D02D2C"/>
    <w:rsid w:val="00D261A2"/>
    <w:rsid w:val="00D538E4"/>
    <w:rsid w:val="00D616D2"/>
    <w:rsid w:val="00D63B5F"/>
    <w:rsid w:val="00D7066F"/>
    <w:rsid w:val="00D70EF7"/>
    <w:rsid w:val="00D815F5"/>
    <w:rsid w:val="00D8397C"/>
    <w:rsid w:val="00D94EED"/>
    <w:rsid w:val="00D96026"/>
    <w:rsid w:val="00DA0243"/>
    <w:rsid w:val="00DA433C"/>
    <w:rsid w:val="00DA7C1C"/>
    <w:rsid w:val="00DB147A"/>
    <w:rsid w:val="00DB1B7A"/>
    <w:rsid w:val="00DC6708"/>
    <w:rsid w:val="00DC7CFA"/>
    <w:rsid w:val="00DF712D"/>
    <w:rsid w:val="00E01436"/>
    <w:rsid w:val="00E045BD"/>
    <w:rsid w:val="00E17A9F"/>
    <w:rsid w:val="00E17B77"/>
    <w:rsid w:val="00E23337"/>
    <w:rsid w:val="00E259EA"/>
    <w:rsid w:val="00E27E85"/>
    <w:rsid w:val="00E30793"/>
    <w:rsid w:val="00E32061"/>
    <w:rsid w:val="00E41FCF"/>
    <w:rsid w:val="00E42FF9"/>
    <w:rsid w:val="00E4714C"/>
    <w:rsid w:val="00E51AEB"/>
    <w:rsid w:val="00E522A7"/>
    <w:rsid w:val="00E54452"/>
    <w:rsid w:val="00E664C5"/>
    <w:rsid w:val="00E671A2"/>
    <w:rsid w:val="00E76D26"/>
    <w:rsid w:val="00EB02C9"/>
    <w:rsid w:val="00EB1390"/>
    <w:rsid w:val="00EB2C71"/>
    <w:rsid w:val="00EB4340"/>
    <w:rsid w:val="00EB556D"/>
    <w:rsid w:val="00EB5A7D"/>
    <w:rsid w:val="00ED55C0"/>
    <w:rsid w:val="00ED682B"/>
    <w:rsid w:val="00EE41D5"/>
    <w:rsid w:val="00EE696D"/>
    <w:rsid w:val="00EF7B36"/>
    <w:rsid w:val="00F037A4"/>
    <w:rsid w:val="00F04C11"/>
    <w:rsid w:val="00F12FEC"/>
    <w:rsid w:val="00F26013"/>
    <w:rsid w:val="00F27C8F"/>
    <w:rsid w:val="00F30A0C"/>
    <w:rsid w:val="00F32749"/>
    <w:rsid w:val="00F37172"/>
    <w:rsid w:val="00F4477E"/>
    <w:rsid w:val="00F45717"/>
    <w:rsid w:val="00F65EEC"/>
    <w:rsid w:val="00F6637E"/>
    <w:rsid w:val="00F67D8F"/>
    <w:rsid w:val="00F739B3"/>
    <w:rsid w:val="00F74B10"/>
    <w:rsid w:val="00F80247"/>
    <w:rsid w:val="00F802BE"/>
    <w:rsid w:val="00F80E93"/>
    <w:rsid w:val="00F86024"/>
    <w:rsid w:val="00F8611A"/>
    <w:rsid w:val="00F86C02"/>
    <w:rsid w:val="00F90BB1"/>
    <w:rsid w:val="00F93CA3"/>
    <w:rsid w:val="00FA5128"/>
    <w:rsid w:val="00FB42D4"/>
    <w:rsid w:val="00FB5906"/>
    <w:rsid w:val="00FB762F"/>
    <w:rsid w:val="00FC2AED"/>
    <w:rsid w:val="00FD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0.emf"/><Relationship Id="rId18" Type="http://schemas.openxmlformats.org/officeDocument/2006/relationships/chart" Target="charts/chart5.xml"/><Relationship Id="rId26" Type="http://schemas.openxmlformats.org/officeDocument/2006/relationships/image" Target="media/image5.png"/><Relationship Id="rId39" Type="http://schemas.openxmlformats.org/officeDocument/2006/relationships/hyperlink" Target="http://stat.gov.pl/sygnalne/informacje-sygnalne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34" Type="http://schemas.openxmlformats.org/officeDocument/2006/relationships/hyperlink" Target="http://stat.gov.pl/obszary-tematyczne/ceny-handel/wskazniki-cen/" TargetMode="External"/><Relationship Id="rId42" Type="http://schemas.openxmlformats.org/officeDocument/2006/relationships/hyperlink" Target="https://bdl.stat.gov.pl/BDL/start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3.emf"/><Relationship Id="rId17" Type="http://schemas.openxmlformats.org/officeDocument/2006/relationships/chart" Target="charts/chart4.xml"/><Relationship Id="rId25" Type="http://schemas.openxmlformats.org/officeDocument/2006/relationships/hyperlink" Target="mailto:obslugaprasowa@stat.gov.pl" TargetMode="External"/><Relationship Id="rId33" Type="http://schemas.openxmlformats.org/officeDocument/2006/relationships/hyperlink" Target="https://bdl.stat.gov.pl/BDL/start" TargetMode="External"/><Relationship Id="rId38" Type="http://schemas.openxmlformats.org/officeDocument/2006/relationships/hyperlink" Target="http://stat.gov.pl/sygnalne/komunikaty-i-obwieszczenia/" TargetMode="External"/><Relationship Id="rId46" Type="http://schemas.openxmlformats.org/officeDocument/2006/relationships/hyperlink" Target="http://stat.gov.pl/metainformacje/slownik-pojec/pojecia-stosowane-w-statystyce-publicznej/32,pojecie.html" TargetMode="External"/><Relationship Id="rId2" Type="http://schemas.openxmlformats.org/officeDocument/2006/relationships/customXml" Target="../customXml/item2.xml"/><Relationship Id="rId16" Type="http://schemas.openxmlformats.org/officeDocument/2006/relationships/chart" Target="charts/chart3.xml"/><Relationship Id="rId20" Type="http://schemas.openxmlformats.org/officeDocument/2006/relationships/footer" Target="footer1.xml"/><Relationship Id="rId29" Type="http://schemas.openxmlformats.org/officeDocument/2006/relationships/hyperlink" Target="http://stat.gov.pl/sygnalne/komunikaty-i-obwieszczenia/" TargetMode="External"/><Relationship Id="rId41" Type="http://schemas.openxmlformats.org/officeDocument/2006/relationships/hyperlink" Target="http://bdm.stat.gov.p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mailto:rzecznik@stat.gov.pl" TargetMode="External"/><Relationship Id="rId32" Type="http://schemas.openxmlformats.org/officeDocument/2006/relationships/hyperlink" Target="http://bdm.stat.gov.pl/" TargetMode="External"/><Relationship Id="rId37" Type="http://schemas.openxmlformats.org/officeDocument/2006/relationships/hyperlink" Target="http://stat.gov.pl/metainformacje/slownik-pojec/pojecia-stosowane-w-statystyce-publicznej/32,pojecie.html" TargetMode="External"/><Relationship Id="rId40" Type="http://schemas.openxmlformats.org/officeDocument/2006/relationships/hyperlink" Target="http://swaid.stat.gov.pl/SitePagesDBW/Ceny.aspx" TargetMode="External"/><Relationship Id="rId45" Type="http://schemas.openxmlformats.org/officeDocument/2006/relationships/hyperlink" Target="http://stat.gov.pl/metainformacje/slownik-pojec/pojecia-stosowane-w-statystyce-publicznej/711,pojecie.html" TargetMode="External"/><Relationship Id="rId5" Type="http://schemas.openxmlformats.org/officeDocument/2006/relationships/numbering" Target="numbering.xml"/><Relationship Id="rId15" Type="http://schemas.openxmlformats.org/officeDocument/2006/relationships/chart" Target="charts/chart2.xml"/><Relationship Id="rId23" Type="http://schemas.openxmlformats.org/officeDocument/2006/relationships/hyperlink" Target="mailto:a.bobel@stat.gov.pl" TargetMode="External"/><Relationship Id="rId28" Type="http://schemas.openxmlformats.org/officeDocument/2006/relationships/image" Target="media/image7.png"/><Relationship Id="rId36" Type="http://schemas.openxmlformats.org/officeDocument/2006/relationships/hyperlink" Target="http://stat.gov.pl/metainformacje/slownik-pojec/pojecia-stosowane-w-statystyce-publicznej/711,pojecie.html" TargetMode="External"/><Relationship Id="rId49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31" Type="http://schemas.openxmlformats.org/officeDocument/2006/relationships/hyperlink" Target="http://swaid.stat.gov.pl/SitePagesDBW/Ceny.aspx" TargetMode="External"/><Relationship Id="rId44" Type="http://schemas.openxmlformats.org/officeDocument/2006/relationships/hyperlink" Target="http://stat.gov.pl/obszary-tematyczne/ceny-handel/ceny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1.xml"/><Relationship Id="rId22" Type="http://schemas.openxmlformats.org/officeDocument/2006/relationships/footer" Target="footer2.xml"/><Relationship Id="rId27" Type="http://schemas.openxmlformats.org/officeDocument/2006/relationships/image" Target="media/image6.png"/><Relationship Id="rId30" Type="http://schemas.openxmlformats.org/officeDocument/2006/relationships/hyperlink" Target="http://stat.gov.pl/sygnalne/informacje-sygnalne/" TargetMode="External"/><Relationship Id="rId35" Type="http://schemas.openxmlformats.org/officeDocument/2006/relationships/hyperlink" Target="http://stat.gov.pl/obszary-tematyczne/ceny-handel/ceny/" TargetMode="External"/><Relationship Id="rId43" Type="http://schemas.openxmlformats.org/officeDocument/2006/relationships/hyperlink" Target="http://stat.gov.pl/obszary-tematyczne/ceny-handel/wskazniki-cen/" TargetMode="External"/><Relationship Id="rId48" Type="http://schemas.openxmlformats.org/officeDocument/2006/relationships/footer" Target="footer3.xml"/><Relationship Id="rId8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NULL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NULL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007AC9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WPŁYWY!$A$1:$A$11</c:f>
              <c:strCache>
                <c:ptCount val="11"/>
                <c:pt idx="0">
                  <c:v>Gaz</c:v>
                </c:pt>
                <c:pt idx="1">
                  <c:v>Paliwa do prywatnych środków transportu</c:v>
                </c:pt>
                <c:pt idx="2">
                  <c:v>Turystyka zorganizowana</c:v>
                </c:pt>
                <c:pt idx="3">
                  <c:v>Jaja</c:v>
                </c:pt>
                <c:pt idx="4">
                  <c:v>Ubezpieczenia</c:v>
                </c:pt>
                <c:pt idx="5">
                  <c:v>Owoce</c:v>
                </c:pt>
                <c:pt idx="6">
                  <c:v>Warzywa</c:v>
                </c:pt>
                <c:pt idx="7">
                  <c:v>Wyroby farmaceutyczne</c:v>
                </c:pt>
                <c:pt idx="8">
                  <c:v>Obuwie</c:v>
                </c:pt>
                <c:pt idx="9">
                  <c:v>Mięso</c:v>
                </c:pt>
                <c:pt idx="10">
                  <c:v>Odzież</c:v>
                </c:pt>
              </c:strCache>
            </c:strRef>
          </c:cat>
          <c:val>
            <c:numRef>
              <c:f>WPŁYWY!$B$1:$B$11</c:f>
              <c:numCache>
                <c:formatCode>0.00</c:formatCode>
                <c:ptCount val="11"/>
                <c:pt idx="0">
                  <c:v>-0.05</c:v>
                </c:pt>
                <c:pt idx="1">
                  <c:v>-0.04</c:v>
                </c:pt>
                <c:pt idx="2">
                  <c:v>-0.03</c:v>
                </c:pt>
                <c:pt idx="3">
                  <c:v>-0.02</c:v>
                </c:pt>
                <c:pt idx="4">
                  <c:v>-0.02</c:v>
                </c:pt>
                <c:pt idx="5">
                  <c:v>-0.02</c:v>
                </c:pt>
                <c:pt idx="6">
                  <c:v>-0.02</c:v>
                </c:pt>
                <c:pt idx="7">
                  <c:v>-0.01</c:v>
                </c:pt>
                <c:pt idx="8">
                  <c:v>0.01</c:v>
                </c:pt>
                <c:pt idx="9">
                  <c:v>0.04</c:v>
                </c:pt>
                <c:pt idx="10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099200"/>
        <c:axId val="78100736"/>
      </c:barChart>
      <c:catAx>
        <c:axId val="78099200"/>
        <c:scaling>
          <c:orientation val="minMax"/>
        </c:scaling>
        <c:delete val="0"/>
        <c:axPos val="l"/>
        <c:numFmt formatCode="@" sourceLinked="0"/>
        <c:majorTickMark val="none"/>
        <c:minorTickMark val="none"/>
        <c:tickLblPos val="low"/>
        <c:spPr>
          <a:noFill/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78100736"/>
        <c:crosses val="autoZero"/>
        <c:auto val="1"/>
        <c:lblAlgn val="ctr"/>
        <c:lblOffset val="300"/>
        <c:tickMarkSkip val="1"/>
        <c:noMultiLvlLbl val="0"/>
      </c:catAx>
      <c:valAx>
        <c:axId val="78100736"/>
        <c:scaling>
          <c:orientation val="minMax"/>
          <c:max val="0.12000000000000001"/>
          <c:min val="-8.0000000000000016E-2"/>
        </c:scaling>
        <c:delete val="0"/>
        <c:axPos val="b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0" sourceLinked="1"/>
        <c:majorTickMark val="out"/>
        <c:minorTickMark val="none"/>
        <c:tickLblPos val="nextTo"/>
        <c:spPr>
          <a:ln w="6350"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78099200"/>
        <c:crosses val="autoZero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2863205691702072"/>
          <c:y val="4.5267504380125223E-2"/>
          <c:w val="0.5162607649127533"/>
          <c:h val="0.8785142984150642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007AC9"/>
            </a:solidFill>
          </c:spPr>
          <c:invertIfNegative val="0"/>
          <c:dLbls>
            <c:numFmt formatCode="#,##0.00" sourceLinked="0"/>
            <c:spPr>
              <a:noFill/>
              <a:ln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'SYSTEM WAG'!$B$2:$B$13</c:f>
              <c:strCache>
                <c:ptCount val="12"/>
                <c:pt idx="0">
                  <c:v>Inne towary i usługi</c:v>
                </c:pt>
                <c:pt idx="1">
                  <c:v>Restauracje i hotele</c:v>
                </c:pt>
                <c:pt idx="2">
                  <c:v>Edukacja</c:v>
                </c:pt>
                <c:pt idx="3">
                  <c:v>Rekreacja i kultura</c:v>
                </c:pt>
                <c:pt idx="4">
                  <c:v>Łączność</c:v>
                </c:pt>
                <c:pt idx="5">
                  <c:v>Transport</c:v>
                </c:pt>
                <c:pt idx="6">
                  <c:v>Zdrowie</c:v>
                </c:pt>
                <c:pt idx="7">
                  <c:v>Wyposażenie mieszkania 
i prowadzenie gospodarstwa domowego</c:v>
                </c:pt>
                <c:pt idx="8">
                  <c:v>Użytkowanie mieszkania 
lub domu i nośniki energii</c:v>
                </c:pt>
                <c:pt idx="9">
                  <c:v>Odzież i obuwie</c:v>
                </c:pt>
                <c:pt idx="10">
                  <c:v>Napoje alkoholowe 
i wyroby tytoniowe</c:v>
                </c:pt>
                <c:pt idx="11">
                  <c:v>Żywność i napoje bezalkoholowe</c:v>
                </c:pt>
              </c:strCache>
            </c:strRef>
          </c:cat>
          <c:val>
            <c:numRef>
              <c:f>'SYSTEM WAG'!$G$2:$G$13</c:f>
              <c:numCache>
                <c:formatCode>0.00</c:formatCode>
                <c:ptCount val="12"/>
                <c:pt idx="0">
                  <c:v>5.55</c:v>
                </c:pt>
                <c:pt idx="1">
                  <c:v>5.71</c:v>
                </c:pt>
                <c:pt idx="2">
                  <c:v>1</c:v>
                </c:pt>
                <c:pt idx="3">
                  <c:v>6.92</c:v>
                </c:pt>
                <c:pt idx="4">
                  <c:v>4.87</c:v>
                </c:pt>
                <c:pt idx="5">
                  <c:v>8.74</c:v>
                </c:pt>
                <c:pt idx="6">
                  <c:v>5.69</c:v>
                </c:pt>
                <c:pt idx="7">
                  <c:v>5.25</c:v>
                </c:pt>
                <c:pt idx="8">
                  <c:v>20.350000000000001</c:v>
                </c:pt>
                <c:pt idx="9">
                  <c:v>5.37</c:v>
                </c:pt>
                <c:pt idx="10">
                  <c:v>6.19</c:v>
                </c:pt>
                <c:pt idx="11">
                  <c:v>24.36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9852288"/>
        <c:axId val="90655744"/>
      </c:barChart>
      <c:catAx>
        <c:axId val="798522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>
            <a:solidFill>
              <a:schemeClr val="bg1">
                <a:lumMod val="50000"/>
              </a:schemeClr>
            </a:solidFill>
          </a:ln>
        </c:spPr>
        <c:txPr>
          <a:bodyPr rot="0" vert="horz"/>
          <a:lstStyle/>
          <a:p>
            <a:pPr algn="r">
              <a:defRPr sz="800"/>
            </a:pPr>
            <a:endParaRPr lang="en-US"/>
          </a:p>
        </c:txPr>
        <c:crossAx val="90655744"/>
        <c:crosses val="autoZero"/>
        <c:auto val="0"/>
        <c:lblAlgn val="ctr"/>
        <c:lblOffset val="100"/>
        <c:noMultiLvlLbl val="0"/>
      </c:catAx>
      <c:valAx>
        <c:axId val="90655744"/>
        <c:scaling>
          <c:orientation val="minMax"/>
        </c:scaling>
        <c:delete val="0"/>
        <c:axPos val="b"/>
        <c:majorGridlines>
          <c:spPr>
            <a:ln w="3175">
              <a:solidFill>
                <a:srgbClr val="B2B2B2"/>
              </a:solidFill>
              <a:prstDash val="sysDot"/>
            </a:ln>
          </c:spPr>
        </c:majorGridlines>
        <c:title>
          <c:tx>
            <c:rich>
              <a:bodyPr anchor="b" anchorCtr="1"/>
              <a:lstStyle/>
              <a:p>
                <a:pPr algn="r">
                  <a:defRPr/>
                </a:pPr>
                <a:r>
                  <a:rPr lang="pl-PL" b="0"/>
                  <a:t>%</a:t>
                </a:r>
              </a:p>
            </c:rich>
          </c:tx>
          <c:layout>
            <c:manualLayout>
              <c:xMode val="edge"/>
              <c:yMode val="edge"/>
              <c:x val="0.96046223117610507"/>
              <c:y val="0.9358155905234018"/>
            </c:manualLayout>
          </c:layout>
          <c:overlay val="0"/>
          <c:spPr>
            <a:noFill/>
            <a:ln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noFill/>
          <a:ln w="6350">
            <a:noFill/>
            <a:prstDash val="sysDot"/>
          </a:ln>
        </c:spPr>
        <c:crossAx val="7985228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Fira Sans" pitchFamily="34" charset="0"/>
          <a:ea typeface="Fira Sans" pitchFamily="34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471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9212879374506265E-2"/>
                  <c:y val="3.57230001762258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3655607384919519E-2"/>
                  <c:y val="3.14190242513793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6938980770188467E-2"/>
                  <c:y val="-2.45326627716250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5188865282209589E-2"/>
                  <c:y val="-2.8962056393186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4537690645423696E-2"/>
                  <c:y val="3.57230001762258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2671247657669898E-2"/>
                  <c:y val="-2.88366386964714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9188076794256739E-2"/>
                  <c:y val="3.57230001762258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3.1710196496977316E-2"/>
                  <c:y val="3.14190242513793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2.585678755808828E-2"/>
                  <c:y val="3.57230001762258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3.5213609781200292E-2"/>
                  <c:y val="-2.88366386964714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3.4537690645423696E-2"/>
                  <c:y val="3.57230001762258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3.4643150435461081E-2"/>
                  <c:y val="-2.45326627716250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2.0635746767608657E-2"/>
                  <c:y val="-2.88366386964714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2.7748033126091826E-2"/>
                  <c:y val="-2.88366386964713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3.8537155534637192E-2"/>
                  <c:y val="3.57230001762257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3.518880720095071E-2"/>
                  <c:y val="-2.45326627716249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4.0738335707806092E-2"/>
                  <c:y val="4.00269761010723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-4.4111486621742198E-2"/>
                  <c:y val="3.57230001762258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-3.1710196496977316E-2"/>
                  <c:y val="3.57230001762258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9"/>
              <c:layout>
                <c:manualLayout>
                  <c:x val="-3.3576639484731274E-2"/>
                  <c:y val="3.57230001762257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0"/>
              <c:layout>
                <c:manualLayout>
                  <c:x val="-4.5438327017138361E-2"/>
                  <c:y val="-2.88366386964714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1"/>
              <c:layout>
                <c:manualLayout>
                  <c:x val="-4.0174125831106154E-2"/>
                  <c:y val="-2.88366386964714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2"/>
              <c:layout>
                <c:manualLayout>
                  <c:x val="-3.5213609781200292E-2"/>
                  <c:y val="-2.88366386964714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3"/>
              <c:layout>
                <c:manualLayout>
                  <c:x val="-3.5151505682622736E-2"/>
                  <c:y val="4.00269761010723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4"/>
              <c:layout>
                <c:manualLayout>
                  <c:x val="-3.5188763957210899E-2"/>
                  <c:y val="-3.04229166666666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5"/>
              <c:layout>
                <c:manualLayout>
                  <c:x val="-4.2987743006094994E-2"/>
                  <c:y val="3.3838175528528261E-2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-0,2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6"/>
              <c:layout>
                <c:manualLayout>
                  <c:x val="-2.3522786084724055E-2"/>
                  <c:y val="2.71832007072184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'M-1'!$B$2:$B$28</c:f>
              <c:strCache>
                <c:ptCount val="2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  <c:pt idx="24">
                  <c:v>I</c:v>
                </c:pt>
                <c:pt idx="25">
                  <c:v>II</c:v>
                </c:pt>
                <c:pt idx="26">
                  <c:v>III</c:v>
                </c:pt>
              </c:strCache>
            </c:strRef>
          </c:cat>
          <c:val>
            <c:numRef>
              <c:f>'M-1'!$C$2:$C$28</c:f>
              <c:numCache>
                <c:formatCode>0.0</c:formatCode>
                <c:ptCount val="27"/>
                <c:pt idx="0">
                  <c:v>-0.5</c:v>
                </c:pt>
                <c:pt idx="1">
                  <c:v>-9.9999999999994316E-2</c:v>
                </c:pt>
                <c:pt idx="2">
                  <c:v>9.9999999999994316E-2</c:v>
                </c:pt>
                <c:pt idx="3">
                  <c:v>0.29999999999999716</c:v>
                </c:pt>
                <c:pt idx="4">
                  <c:v>9.9999999999994316E-2</c:v>
                </c:pt>
                <c:pt idx="5">
                  <c:v>0.20000000000000284</c:v>
                </c:pt>
                <c:pt idx="6">
                  <c:v>-0.29999999999999716</c:v>
                </c:pt>
                <c:pt idx="7">
                  <c:v>-0.20000000000000284</c:v>
                </c:pt>
                <c:pt idx="8">
                  <c:v>0</c:v>
                </c:pt>
                <c:pt idx="9">
                  <c:v>0.5</c:v>
                </c:pt>
                <c:pt idx="10">
                  <c:v>9.9999999999994316E-2</c:v>
                </c:pt>
                <c:pt idx="11">
                  <c:v>0.70000000000000284</c:v>
                </c:pt>
                <c:pt idx="12">
                  <c:v>0.40000000000000568</c:v>
                </c:pt>
                <c:pt idx="13">
                  <c:v>0.29999999999999716</c:v>
                </c:pt>
                <c:pt idx="14">
                  <c:v>-9.9999999999994316E-2</c:v>
                </c:pt>
                <c:pt idx="15">
                  <c:v>0.29999999999999716</c:v>
                </c:pt>
                <c:pt idx="16">
                  <c:v>0</c:v>
                </c:pt>
                <c:pt idx="17">
                  <c:v>-0.20000000000000284</c:v>
                </c:pt>
                <c:pt idx="18">
                  <c:v>-0.20000000000000284</c:v>
                </c:pt>
                <c:pt idx="19">
                  <c:v>-9.9999999999994316E-2</c:v>
                </c:pt>
                <c:pt idx="20">
                  <c:v>0.40000000000000568</c:v>
                </c:pt>
                <c:pt idx="21">
                  <c:v>0.5</c:v>
                </c:pt>
                <c:pt idx="22">
                  <c:v>0.5</c:v>
                </c:pt>
                <c:pt idx="23">
                  <c:v>0.20000000000000284</c:v>
                </c:pt>
                <c:pt idx="24">
                  <c:v>0.29999999999999716</c:v>
                </c:pt>
                <c:pt idx="25">
                  <c:v>-0.2</c:v>
                </c:pt>
                <c:pt idx="26">
                  <c:v>-0.1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4216576"/>
        <c:axId val="94218112"/>
      </c:lineChart>
      <c:dateAx>
        <c:axId val="94216576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94218112"/>
        <c:crossesAt val="0"/>
        <c:auto val="0"/>
        <c:lblOffset val="100"/>
        <c:baseTimeUnit val="days"/>
      </c:dateAx>
      <c:valAx>
        <c:axId val="94218112"/>
        <c:scaling>
          <c:orientation val="minMax"/>
          <c:max val="0.9"/>
          <c:min val="-0.8"/>
        </c:scaling>
        <c:delete val="0"/>
        <c:axPos val="l"/>
        <c:majorGridlines>
          <c:spPr>
            <a:ln w="3175">
              <a:solidFill>
                <a:srgbClr val="B2B2B2"/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94216576"/>
        <c:crossesAt val="1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471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26"/>
            <c:bubble3D val="0"/>
          </c:dPt>
          <c:dLbls>
            <c:dLbl>
              <c:idx val="0"/>
              <c:layout>
                <c:manualLayout>
                  <c:x val="-4.4176319924523547E-2"/>
                  <c:y val="2.69739715589919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3509569490657006E-2"/>
                  <c:y val="-2.98250303465361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9493824644245064E-2"/>
                  <c:y val="-3.32819864890745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0152367716381719E-2"/>
                  <c:y val="2.35328603728661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4.4464750065316923E-2"/>
                  <c:y val="-2.98956437392444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2671247657669898E-2"/>
                  <c:y val="-2.88366386964714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4.4151502425959339E-2"/>
                  <c:y val="2.69739715589919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3.1710119110314169E-2"/>
                  <c:y val="2.70445849517004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2.58567068899043E-2"/>
                  <c:y val="2.2599385766820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2.2804936220005758E-2"/>
                  <c:y val="1.92836564096981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5.439174949099701E-2"/>
                  <c:y val="-2.55210579470723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1.9752579309983649E-2"/>
                  <c:y val="2.35876288091618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5.5380150339325647E-2"/>
                  <c:y val="-6.9638583433340269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5.5023619895369719E-2"/>
                  <c:y val="-2.01292068184666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3.6055330906168949E-2"/>
                  <c:y val="2.2599385766820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3.5188868003541672E-2"/>
                  <c:y val="-3.328198648907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2.0884413575210797E-2"/>
                  <c:y val="-2.12170855476085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-3.4184443258502388E-2"/>
                  <c:y val="2.69739715589921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-3.1710119110314169E-2"/>
                  <c:y val="-3.42702295314164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9"/>
              <c:layout>
                <c:manualLayout>
                  <c:x val="-2.1167958381641146E-2"/>
                  <c:y val="2.2599385766820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0"/>
              <c:layout>
                <c:manualLayout>
                  <c:x val="-5.0401799210021983E-2"/>
                  <c:y val="-2.44622015120221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1"/>
              <c:layout>
                <c:manualLayout>
                  <c:x val="-3.521055888811344E-2"/>
                  <c:y val="2.36582422018702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2"/>
              <c:layout>
                <c:manualLayout>
                  <c:x val="-3.5213685502105962E-2"/>
                  <c:y val="-3.32113730963663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3"/>
              <c:layout>
                <c:manualLayout>
                  <c:x val="-3.51515440490082E-2"/>
                  <c:y val="2.69033581662838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4"/>
              <c:layout>
                <c:manualLayout>
                  <c:x val="-3.2706922733747125E-2"/>
                  <c:y val="-3.04230052233243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5"/>
              <c:layout>
                <c:manualLayout>
                  <c:x val="-3.5681114293960731E-2"/>
                  <c:y val="2.9523631719122659E-2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1,4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6"/>
              <c:layout>
                <c:manualLayout>
                  <c:x val="-1.9078403167885297E-2"/>
                  <c:y val="2.75598904906838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'M-12 (FE)'!$B$2:$B$28</c:f>
              <c:strCache>
                <c:ptCount val="2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  <c:pt idx="24">
                  <c:v>I</c:v>
                </c:pt>
                <c:pt idx="25">
                  <c:v>II</c:v>
                </c:pt>
                <c:pt idx="26">
                  <c:v>III</c:v>
                </c:pt>
              </c:strCache>
            </c:strRef>
          </c:cat>
          <c:val>
            <c:numRef>
              <c:f>'M-12 (FE)'!$C$2:$C$28</c:f>
              <c:numCache>
                <c:formatCode>0.0</c:formatCode>
                <c:ptCount val="27"/>
                <c:pt idx="0">
                  <c:v>-0.90000000000000568</c:v>
                </c:pt>
                <c:pt idx="1">
                  <c:v>-0.79999999999999716</c:v>
                </c:pt>
                <c:pt idx="2">
                  <c:v>-0.90000000000000568</c:v>
                </c:pt>
                <c:pt idx="3">
                  <c:v>-1.0999999999999943</c:v>
                </c:pt>
                <c:pt idx="4">
                  <c:v>-0.90000000000000568</c:v>
                </c:pt>
                <c:pt idx="5">
                  <c:v>-0.79999999999999716</c:v>
                </c:pt>
                <c:pt idx="6">
                  <c:v>-0.90000000000000568</c:v>
                </c:pt>
                <c:pt idx="7">
                  <c:v>-0.79999999999999716</c:v>
                </c:pt>
                <c:pt idx="8">
                  <c:v>-0.5</c:v>
                </c:pt>
                <c:pt idx="9">
                  <c:v>-0.20000000000000284</c:v>
                </c:pt>
                <c:pt idx="10">
                  <c:v>0</c:v>
                </c:pt>
                <c:pt idx="11">
                  <c:v>0.79999999999999716</c:v>
                </c:pt>
                <c:pt idx="12">
                  <c:v>1.7000000000000028</c:v>
                </c:pt>
                <c:pt idx="13">
                  <c:v>2.2000000000000028</c:v>
                </c:pt>
                <c:pt idx="14">
                  <c:v>2</c:v>
                </c:pt>
                <c:pt idx="15">
                  <c:v>2</c:v>
                </c:pt>
                <c:pt idx="16">
                  <c:v>1.9000000000000057</c:v>
                </c:pt>
                <c:pt idx="17">
                  <c:v>1.5</c:v>
                </c:pt>
                <c:pt idx="18">
                  <c:v>1.7000000000000028</c:v>
                </c:pt>
                <c:pt idx="19">
                  <c:v>1.7999999999999972</c:v>
                </c:pt>
                <c:pt idx="20">
                  <c:v>2.2000000000000028</c:v>
                </c:pt>
                <c:pt idx="21">
                  <c:v>2.0999999999999943</c:v>
                </c:pt>
                <c:pt idx="22">
                  <c:v>2.5</c:v>
                </c:pt>
                <c:pt idx="23">
                  <c:v>2.0999999999999943</c:v>
                </c:pt>
                <c:pt idx="24">
                  <c:v>1.9000000000000057</c:v>
                </c:pt>
                <c:pt idx="25">
                  <c:v>1.4</c:v>
                </c:pt>
                <c:pt idx="26">
                  <c:v>1.3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4293376"/>
        <c:axId val="94688384"/>
      </c:lineChart>
      <c:dateAx>
        <c:axId val="94293376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94688384"/>
        <c:crossesAt val="0"/>
        <c:auto val="0"/>
        <c:lblOffset val="100"/>
        <c:baseTimeUnit val="days"/>
      </c:dateAx>
      <c:valAx>
        <c:axId val="94688384"/>
        <c:scaling>
          <c:orientation val="minMax"/>
          <c:max val="4"/>
          <c:min val="-1.5"/>
        </c:scaling>
        <c:delete val="0"/>
        <c:axPos val="l"/>
        <c:majorGridlines>
          <c:spPr>
            <a:ln w="3175">
              <a:solidFill>
                <a:srgbClr val="B2B2B2"/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94293376"/>
        <c:crossesAt val="1"/>
        <c:crossBetween val="between"/>
        <c:majorUnit val="0.5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103308106031142E-2"/>
          <c:y val="5.279198590742195E-2"/>
          <c:w val="0.86402212918953414"/>
          <c:h val="0.80215749189155816"/>
        </c:manualLayout>
      </c:layout>
      <c:lineChart>
        <c:grouping val="standard"/>
        <c:varyColors val="0"/>
        <c:ser>
          <c:idx val="0"/>
          <c:order val="0"/>
          <c:tx>
            <c:v>CPI</c:v>
          </c:tx>
          <c:spPr>
            <a:ln w="19050">
              <a:solidFill>
                <a:srgbClr val="001D77"/>
              </a:solidFill>
            </a:ln>
          </c:spPr>
          <c:marker>
            <c:symbol val="none"/>
          </c:marker>
          <c:cat>
            <c:strRef>
              <c:f>'CPI_HICP m-12'!$B$3:$B$29</c:f>
              <c:strCache>
                <c:ptCount val="2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  <c:pt idx="24">
                  <c:v>I</c:v>
                </c:pt>
                <c:pt idx="25">
                  <c:v>II</c:v>
                </c:pt>
                <c:pt idx="26">
                  <c:v>III</c:v>
                </c:pt>
              </c:strCache>
            </c:strRef>
          </c:cat>
          <c:val>
            <c:numRef>
              <c:f>'CPI_HICP m-12'!$C$3:$C$29</c:f>
              <c:numCache>
                <c:formatCode>0.0</c:formatCode>
                <c:ptCount val="27"/>
                <c:pt idx="0">
                  <c:v>-0.9</c:v>
                </c:pt>
                <c:pt idx="1">
                  <c:v>-0.8</c:v>
                </c:pt>
                <c:pt idx="2">
                  <c:v>-0.9</c:v>
                </c:pt>
                <c:pt idx="3">
                  <c:v>-1.1000000000000001</c:v>
                </c:pt>
                <c:pt idx="4">
                  <c:v>-0.9</c:v>
                </c:pt>
                <c:pt idx="5">
                  <c:v>-0.8</c:v>
                </c:pt>
                <c:pt idx="6">
                  <c:v>-0.9</c:v>
                </c:pt>
                <c:pt idx="7">
                  <c:v>-0.8</c:v>
                </c:pt>
                <c:pt idx="8">
                  <c:v>-0.5</c:v>
                </c:pt>
                <c:pt idx="9">
                  <c:v>-0.2</c:v>
                </c:pt>
                <c:pt idx="10">
                  <c:v>0</c:v>
                </c:pt>
                <c:pt idx="11">
                  <c:v>0.8</c:v>
                </c:pt>
                <c:pt idx="12">
                  <c:v>1.7000000000000028</c:v>
                </c:pt>
                <c:pt idx="13">
                  <c:v>2.2000000000000028</c:v>
                </c:pt>
                <c:pt idx="14">
                  <c:v>2</c:v>
                </c:pt>
                <c:pt idx="15">
                  <c:v>2</c:v>
                </c:pt>
                <c:pt idx="16">
                  <c:v>1.9</c:v>
                </c:pt>
                <c:pt idx="17">
                  <c:v>1.5</c:v>
                </c:pt>
                <c:pt idx="18">
                  <c:v>1.7000000000000028</c:v>
                </c:pt>
                <c:pt idx="19">
                  <c:v>1.7999999999999972</c:v>
                </c:pt>
                <c:pt idx="20">
                  <c:v>2.2000000000000028</c:v>
                </c:pt>
                <c:pt idx="21">
                  <c:v>2.1</c:v>
                </c:pt>
                <c:pt idx="22">
                  <c:v>2.5</c:v>
                </c:pt>
                <c:pt idx="23">
                  <c:v>2.1</c:v>
                </c:pt>
                <c:pt idx="24">
                  <c:v>1.9</c:v>
                </c:pt>
                <c:pt idx="25">
                  <c:v>1.4</c:v>
                </c:pt>
                <c:pt idx="26">
                  <c:v>1.3</c:v>
                </c:pt>
              </c:numCache>
            </c:numRef>
          </c:val>
          <c:smooth val="0"/>
        </c:ser>
        <c:ser>
          <c:idx val="1"/>
          <c:order val="1"/>
          <c:tx>
            <c:v>HICP</c:v>
          </c:tx>
          <c:spPr>
            <a:ln w="19050">
              <a:solidFill>
                <a:srgbClr val="007AC9"/>
              </a:solidFill>
            </a:ln>
          </c:spPr>
          <c:marker>
            <c:symbol val="none"/>
          </c:marker>
          <c:cat>
            <c:strRef>
              <c:f>'CPI_HICP m-12'!$B$3:$B$29</c:f>
              <c:strCache>
                <c:ptCount val="2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  <c:pt idx="24">
                  <c:v>I</c:v>
                </c:pt>
                <c:pt idx="25">
                  <c:v>II</c:v>
                </c:pt>
                <c:pt idx="26">
                  <c:v>III</c:v>
                </c:pt>
              </c:strCache>
            </c:strRef>
          </c:cat>
          <c:val>
            <c:numRef>
              <c:f>'CPI_HICP m-12'!$E$3:$E$29</c:f>
              <c:numCache>
                <c:formatCode>0.0</c:formatCode>
                <c:ptCount val="27"/>
                <c:pt idx="0">
                  <c:v>-0.3</c:v>
                </c:pt>
                <c:pt idx="1">
                  <c:v>-0.2</c:v>
                </c:pt>
                <c:pt idx="2">
                  <c:v>-0.4</c:v>
                </c:pt>
                <c:pt idx="3">
                  <c:v>-0.5</c:v>
                </c:pt>
                <c:pt idx="4">
                  <c:v>-0.4</c:v>
                </c:pt>
                <c:pt idx="5">
                  <c:v>-0.4</c:v>
                </c:pt>
                <c:pt idx="6">
                  <c:v>-0.6</c:v>
                </c:pt>
                <c:pt idx="7">
                  <c:v>-0.5</c:v>
                </c:pt>
                <c:pt idx="8">
                  <c:v>-0.2</c:v>
                </c:pt>
                <c:pt idx="9">
                  <c:v>0.1</c:v>
                </c:pt>
                <c:pt idx="10">
                  <c:v>0.2</c:v>
                </c:pt>
                <c:pt idx="11">
                  <c:v>0.9</c:v>
                </c:pt>
                <c:pt idx="12">
                  <c:v>1.4</c:v>
                </c:pt>
                <c:pt idx="13">
                  <c:v>1.9</c:v>
                </c:pt>
                <c:pt idx="14">
                  <c:v>1.8</c:v>
                </c:pt>
                <c:pt idx="15">
                  <c:v>1.8</c:v>
                </c:pt>
                <c:pt idx="16">
                  <c:v>1.5</c:v>
                </c:pt>
                <c:pt idx="17">
                  <c:v>1.3</c:v>
                </c:pt>
                <c:pt idx="18">
                  <c:v>1.4</c:v>
                </c:pt>
                <c:pt idx="19">
                  <c:v>1.4</c:v>
                </c:pt>
                <c:pt idx="20">
                  <c:v>1.6</c:v>
                </c:pt>
                <c:pt idx="21">
                  <c:v>1.6</c:v>
                </c:pt>
                <c:pt idx="22">
                  <c:v>2</c:v>
                </c:pt>
                <c:pt idx="23">
                  <c:v>1.7</c:v>
                </c:pt>
                <c:pt idx="24">
                  <c:v>1.6</c:v>
                </c:pt>
                <c:pt idx="25">
                  <c:v>0.7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4362240"/>
        <c:axId val="94368128"/>
      </c:lineChart>
      <c:catAx>
        <c:axId val="94362240"/>
        <c:scaling>
          <c:orientation val="minMax"/>
        </c:scaling>
        <c:delete val="0"/>
        <c:axPos val="b"/>
        <c:numFmt formatCode="d/mm" sourceLinked="0"/>
        <c:majorTickMark val="out"/>
        <c:minorTickMark val="none"/>
        <c:tickLblPos val="low"/>
        <c:spPr>
          <a:ln w="3175">
            <a:solidFill>
              <a:schemeClr val="bg1">
                <a:lumMod val="50000"/>
              </a:schemeClr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en-US"/>
          </a:p>
        </c:txPr>
        <c:crossAx val="94368128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94368128"/>
        <c:scaling>
          <c:orientation val="minMax"/>
          <c:max val="2.5"/>
          <c:min val="-1.5"/>
        </c:scaling>
        <c:delete val="0"/>
        <c:axPos val="l"/>
        <c:majorGridlines>
          <c:spPr>
            <a:ln w="3175">
              <a:solidFill>
                <a:srgbClr val="B2B2B2"/>
              </a:solidFill>
              <a:prstDash val="sysDot"/>
            </a:ln>
          </c:spPr>
        </c:majorGridlines>
        <c:numFmt formatCode="0.0" sourceLinked="0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en-US"/>
          </a:p>
        </c:txPr>
        <c:crossAx val="94362240"/>
        <c:crosses val="autoZero"/>
        <c:crossBetween val="between"/>
        <c:majorUnit val="0.5"/>
        <c:minorUnit val="0.1"/>
      </c:valAx>
      <c:spPr>
        <a:noFill/>
        <a:ln w="3175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88364943597372014"/>
          <c:y val="7.2238100493600702E-2"/>
          <c:w val="0.11635056402627991"/>
          <c:h val="0.14986889326122779"/>
        </c:manualLayout>
      </c:layout>
      <c:overlay val="0"/>
      <c:spPr>
        <a:noFill/>
        <a:ln w="38100">
          <a:noFill/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Fira Sans" pitchFamily="34" charset="0"/>
              <a:ea typeface="Fira Sans" pitchFamily="34" charset="0"/>
              <a:cs typeface="Arial CE"/>
            </a:defRPr>
          </a:pPr>
          <a:endParaRPr lang="en-US"/>
        </a:p>
      </c:txPr>
    </c:legend>
    <c:plotVisOnly val="0"/>
    <c:dispBlanksAs val="gap"/>
    <c:showDLblsOverMax val="0"/>
  </c:chart>
  <c:spPr>
    <a:noFill/>
    <a:ln w="9525">
      <a:noFill/>
      <a:prstDash val="solid"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0.45093</cdr:x>
      <cdr:y>0.86738</cdr:y>
    </cdr:from>
    <cdr:to>
      <cdr:x>0.45125</cdr:x>
      <cdr:y>0.94706</cdr:y>
    </cdr:to>
    <cdr:sp macro="" textlink="">
      <cdr:nvSpPr>
        <cdr:cNvPr id="7" name="Łącznik prosty 6"/>
        <cdr:cNvSpPr/>
      </cdr:nvSpPr>
      <cdr:spPr bwMode="auto">
        <a:xfrm xmlns:a="http://schemas.openxmlformats.org/drawingml/2006/main" flipV="1">
          <a:off x="2321958" y="2553013"/>
          <a:ext cx="1648" cy="234527"/>
        </a:xfrm>
        <a:prstGeom xmlns:a="http://schemas.openxmlformats.org/drawingml/2006/main" prst="line">
          <a:avLst/>
        </a:prstGeom>
        <a:ln xmlns:a="http://schemas.openxmlformats.org/drawingml/2006/main" w="6350">
          <a:solidFill>
            <a:schemeClr val="tx1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 wrap="square" lIns="18288" tIns="0" rIns="0" bIns="0" upright="1"/>
        <a:lstStyle xmlns:a="http://schemas.openxmlformats.org/drawingml/2006/main"/>
        <a:p xmlns:a="http://schemas.openxmlformats.org/drawingml/2006/main">
          <a:endParaRPr lang="pl-PL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  <cdr:relSizeAnchor xmlns:cdr="http://schemas.openxmlformats.org/drawingml/2006/chartDrawing">
    <cdr:from>
      <cdr:x>0.06647</cdr:x>
      <cdr:y>0.93089</cdr:y>
    </cdr:from>
    <cdr:to>
      <cdr:x>0.45318</cdr:x>
      <cdr:y>1</cdr:y>
    </cdr:to>
    <cdr:sp macro="" textlink="">
      <cdr:nvSpPr>
        <cdr:cNvPr id="9" name="pole tekstowe 8"/>
        <cdr:cNvSpPr txBox="1"/>
      </cdr:nvSpPr>
      <cdr:spPr>
        <a:xfrm xmlns:a="http://schemas.openxmlformats.org/drawingml/2006/main">
          <a:off x="338091" y="2600325"/>
          <a:ext cx="1966960" cy="1930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2016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0.45318</cdr:x>
      <cdr:y>0.92748</cdr:y>
    </cdr:from>
    <cdr:to>
      <cdr:x>0.83521</cdr:x>
      <cdr:y>1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2305051" y="2590800"/>
          <a:ext cx="1943100" cy="2025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2017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0.83146</cdr:x>
      <cdr:y>0.92407</cdr:y>
    </cdr:from>
    <cdr:to>
      <cdr:x>0.93469</cdr:x>
      <cdr:y>1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4229100" y="2581275"/>
          <a:ext cx="525060" cy="2120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0.83359</cdr:x>
      <cdr:y>0.86867</cdr:y>
    </cdr:from>
    <cdr:to>
      <cdr:x>0.83394</cdr:x>
      <cdr:y>0.9489</cdr:y>
    </cdr:to>
    <cdr:sp macro="" textlink="">
      <cdr:nvSpPr>
        <cdr:cNvPr id="10" name="Łącznik prosty 9"/>
        <cdr:cNvSpPr/>
      </cdr:nvSpPr>
      <cdr:spPr bwMode="auto">
        <a:xfrm xmlns:a="http://schemas.openxmlformats.org/drawingml/2006/main" flipH="1" flipV="1">
          <a:off x="4274609" y="2494610"/>
          <a:ext cx="1794" cy="23040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Fira Sans Light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Fira Sans Light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Fira Sans Light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Fira Sans Light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Fira Sans Light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Fira Sans Light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Fira Sans Light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Fira Sans Light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Fira Sans Light"/>
            </a:defRPr>
          </a:lvl9pPr>
        </a:lstStyle>
        <a:p xmlns:a="http://schemas.openxmlformats.org/drawingml/2006/main">
          <a:endParaRPr lang="pl-PL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0.45189</cdr:x>
      <cdr:y>0.86738</cdr:y>
    </cdr:from>
    <cdr:to>
      <cdr:x>0.45221</cdr:x>
      <cdr:y>0.94706</cdr:y>
    </cdr:to>
    <cdr:sp macro="" textlink="">
      <cdr:nvSpPr>
        <cdr:cNvPr id="7" name="Łącznik prosty 6"/>
        <cdr:cNvSpPr/>
      </cdr:nvSpPr>
      <cdr:spPr bwMode="auto">
        <a:xfrm xmlns:a="http://schemas.openxmlformats.org/drawingml/2006/main" flipV="1">
          <a:off x="2314922" y="2498054"/>
          <a:ext cx="1639" cy="229479"/>
        </a:xfrm>
        <a:prstGeom xmlns:a="http://schemas.openxmlformats.org/drawingml/2006/main" prst="line">
          <a:avLst/>
        </a:prstGeom>
        <a:ln xmlns:a="http://schemas.openxmlformats.org/drawingml/2006/main" w="6350">
          <a:solidFill>
            <a:schemeClr val="tx1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 wrap="square" lIns="18288" tIns="0" rIns="0" bIns="0" upright="1"/>
        <a:lstStyle xmlns:a="http://schemas.openxmlformats.org/drawingml/2006/main"/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0.06647</cdr:x>
      <cdr:y>0.93374</cdr:y>
    </cdr:from>
    <cdr:to>
      <cdr:x>0.45182</cdr:x>
      <cdr:y>1</cdr:y>
    </cdr:to>
    <cdr:sp macro="" textlink="">
      <cdr:nvSpPr>
        <cdr:cNvPr id="9" name="pole tekstowe 8"/>
        <cdr:cNvSpPr txBox="1"/>
      </cdr:nvSpPr>
      <cdr:spPr>
        <a:xfrm xmlns:a="http://schemas.openxmlformats.org/drawingml/2006/main">
          <a:off x="340513" y="2689164"/>
          <a:ext cx="1974063" cy="1908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2016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0.45554</cdr:x>
      <cdr:y>0.93266</cdr:y>
    </cdr:from>
    <cdr:to>
      <cdr:x>0.83856</cdr:x>
      <cdr:y>1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2333627" y="2686050"/>
          <a:ext cx="1962149" cy="193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2017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0.83856</cdr:x>
      <cdr:y>0.93266</cdr:y>
    </cdr:from>
    <cdr:to>
      <cdr:x>0.93469</cdr:x>
      <cdr:y>1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4295776" y="2686050"/>
          <a:ext cx="492454" cy="193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0.83718</cdr:x>
      <cdr:y>0.86417</cdr:y>
    </cdr:from>
    <cdr:to>
      <cdr:x>0.83753</cdr:x>
      <cdr:y>0.94912</cdr:y>
    </cdr:to>
    <cdr:sp macro="" textlink="">
      <cdr:nvSpPr>
        <cdr:cNvPr id="10" name="Łącznik prosty 9"/>
        <cdr:cNvSpPr/>
      </cdr:nvSpPr>
      <cdr:spPr bwMode="auto">
        <a:xfrm xmlns:a="http://schemas.openxmlformats.org/drawingml/2006/main" flipH="1" flipV="1">
          <a:off x="4288706" y="2488810"/>
          <a:ext cx="1793" cy="244656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Fira Sans Light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Fira Sans Light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Fira Sans Light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Fira Sans Light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Fira Sans Light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Fira Sans Light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Fira Sans Light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Fira Sans Light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Fira Sans Light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0.06867</cdr:x>
      <cdr:y>0.26701</cdr:y>
    </cdr:from>
    <cdr:to>
      <cdr:x>0.93008</cdr:x>
      <cdr:y>0.26958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350896" y="769904"/>
          <a:ext cx="4401674" cy="7404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0.06864</cdr:x>
      <cdr:y>0.41683</cdr:y>
    </cdr:from>
    <cdr:to>
      <cdr:x>0.93005</cdr:x>
      <cdr:y>0.4194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 flipV="1">
          <a:off x="350736" y="1201906"/>
          <a:ext cx="4401674" cy="7404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0.06864</cdr:x>
      <cdr:y>0.12023</cdr:y>
    </cdr:from>
    <cdr:to>
      <cdr:x>0.93005</cdr:x>
      <cdr:y>0.1228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 flipV="1">
          <a:off x="350736" y="346683"/>
          <a:ext cx="4401674" cy="7404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0.0385</cdr:x>
      <cdr:y>0.12023</cdr:y>
    </cdr:from>
    <cdr:to>
      <cdr:x>0.30706</cdr:x>
      <cdr:y>0.21654</cdr:y>
    </cdr:to>
    <cdr:sp macro="" textlink="">
      <cdr:nvSpPr>
        <cdr:cNvPr id="16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96715" y="346683"/>
          <a:ext cx="1372320" cy="27769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pl-PL" sz="800" b="1" i="0" u="none" strike="noStrike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 CE"/>
            </a:rPr>
            <a:t>Cel inflacyjny 2,5</a:t>
          </a:r>
        </a:p>
      </cdr:txBody>
    </cdr:sp>
  </cdr:relSizeAnchor>
  <cdr:relSizeAnchor xmlns:cdr="http://schemas.openxmlformats.org/drawingml/2006/chartDrawing">
    <cdr:from>
      <cdr:x>0.19477</cdr:x>
      <cdr:y>0.20094</cdr:y>
    </cdr:from>
    <cdr:to>
      <cdr:x>0.23264</cdr:x>
      <cdr:y>0.25203</cdr:y>
    </cdr:to>
    <cdr:sp macro="" textlink="">
      <cdr:nvSpPr>
        <cdr:cNvPr id="17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995262" y="579403"/>
          <a:ext cx="193506" cy="14730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0.37961</cdr:x>
      <cdr:y>0.1461</cdr:y>
    </cdr:from>
    <cdr:to>
      <cdr:x>0.63265</cdr:x>
      <cdr:y>0.29131</cdr:y>
    </cdr:to>
    <cdr:sp macro="" textlink="">
      <cdr:nvSpPr>
        <cdr:cNvPr id="18" name="pole tekstowe 1"/>
        <cdr:cNvSpPr txBox="1"/>
      </cdr:nvSpPr>
      <cdr:spPr>
        <a:xfrm xmlns:a="http://schemas.openxmlformats.org/drawingml/2006/main">
          <a:off x="1941861" y="422508"/>
          <a:ext cx="1294361" cy="4199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800" b="1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</a:t>
          </a:r>
        </a:p>
        <a:p xmlns:a="http://schemas.openxmlformats.org/drawingml/2006/main">
          <a:pPr algn="ctr"/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inflacyjnego</a:t>
          </a:r>
        </a:p>
      </cdr:txBody>
    </cdr:sp>
  </cdr:relSizeAnchor>
  <cdr:relSizeAnchor xmlns:cdr="http://schemas.openxmlformats.org/drawingml/2006/chartDrawing">
    <cdr:from>
      <cdr:x>0.36573</cdr:x>
      <cdr:y>0.13472</cdr:y>
    </cdr:from>
    <cdr:to>
      <cdr:x>0.41595</cdr:x>
      <cdr:y>0.19752</cdr:y>
    </cdr:to>
    <cdr:sp macro="" textlink="">
      <cdr:nvSpPr>
        <cdr:cNvPr id="19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 flipV="1">
          <a:off x="1870851" y="389596"/>
          <a:ext cx="256864" cy="18159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0.32032</cdr:x>
      <cdr:y>0.19765</cdr:y>
    </cdr:from>
    <cdr:to>
      <cdr:x>0.41711</cdr:x>
      <cdr:y>0.40786</cdr:y>
    </cdr:to>
    <cdr:sp macro="" textlink="">
      <cdr:nvSpPr>
        <cdr:cNvPr id="20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1638533" y="571577"/>
          <a:ext cx="495143" cy="607896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0.06337</cdr:x>
      <cdr:y>0.0639</cdr:y>
    </cdr:from>
    <cdr:to>
      <cdr:x>0.12174</cdr:x>
      <cdr:y>0.18421</cdr:y>
    </cdr:to>
    <cdr:sp macro="" textlink="">
      <cdr:nvSpPr>
        <cdr:cNvPr id="135168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4736" y="165552"/>
          <a:ext cx="299115" cy="31169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0.50952</cdr:x>
      <cdr:y>0.48622</cdr:y>
    </cdr:from>
    <cdr:to>
      <cdr:x>0.52447</cdr:x>
      <cdr:y>0.5397</cdr:y>
    </cdr:to>
    <cdr:sp macro="" textlink="">
      <cdr:nvSpPr>
        <cdr:cNvPr id="1351684" name="Text Box 307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32480" y="1407902"/>
          <a:ext cx="65467" cy="1548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18288" rIns="18288" bIns="18288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800" b="0" i="0" u="none" strike="noStrike" baseline="0">
              <a:solidFill>
                <a:srgbClr val="000000"/>
              </a:solidFill>
              <a:latin typeface="MS Sans Serif"/>
            </a:rPr>
            <a:t> </a:t>
          </a:r>
        </a:p>
      </cdr:txBody>
    </cdr:sp>
  </cdr:relSizeAnchor>
  <cdr:relSizeAnchor xmlns:cdr="http://schemas.openxmlformats.org/drawingml/2006/chartDrawing">
    <cdr:from>
      <cdr:x>0.83498</cdr:x>
      <cdr:y>0.90435</cdr:y>
    </cdr:from>
    <cdr:to>
      <cdr:x>0.93714</cdr:x>
      <cdr:y>0.97351</cdr:y>
    </cdr:to>
    <cdr:sp macro="" textlink="">
      <cdr:nvSpPr>
        <cdr:cNvPr id="5" name="pole tekstowe 1"/>
        <cdr:cNvSpPr txBox="1"/>
      </cdr:nvSpPr>
      <cdr:spPr>
        <a:xfrm xmlns:a="http://schemas.openxmlformats.org/drawingml/2006/main">
          <a:off x="4294909" y="2391470"/>
          <a:ext cx="525496" cy="1828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0.44947</cdr:x>
      <cdr:y>0.90427</cdr:y>
    </cdr:from>
    <cdr:to>
      <cdr:x>0.83498</cdr:x>
      <cdr:y>0.97732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2311978" y="2391259"/>
          <a:ext cx="1982932" cy="1931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2017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0.83527</cdr:x>
      <cdr:y>0.86328</cdr:y>
    </cdr:from>
    <cdr:to>
      <cdr:x>0.83553</cdr:x>
      <cdr:y>0.94013</cdr:y>
    </cdr:to>
    <cdr:sp macro="" textlink="">
      <cdr:nvSpPr>
        <cdr:cNvPr id="7" name="Łącznik prosty 6"/>
        <cdr:cNvSpPr/>
      </cdr:nvSpPr>
      <cdr:spPr bwMode="auto">
        <a:xfrm xmlns:a="http://schemas.openxmlformats.org/drawingml/2006/main" flipV="1">
          <a:off x="4296412" y="2282865"/>
          <a:ext cx="1338" cy="203223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0.06734</cdr:x>
      <cdr:y>0.90571</cdr:y>
    </cdr:from>
    <cdr:to>
      <cdr:x>0.45004</cdr:x>
      <cdr:y>0.97876</cdr:y>
    </cdr:to>
    <cdr:sp macro="" textlink="">
      <cdr:nvSpPr>
        <cdr:cNvPr id="8" name="pole tekstowe 1"/>
        <cdr:cNvSpPr txBox="1"/>
      </cdr:nvSpPr>
      <cdr:spPr>
        <a:xfrm xmlns:a="http://schemas.openxmlformats.org/drawingml/2006/main">
          <a:off x="346364" y="2395067"/>
          <a:ext cx="1968525" cy="1931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2016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0.44996</cdr:x>
      <cdr:y>0.86328</cdr:y>
    </cdr:from>
    <cdr:to>
      <cdr:x>0.45022</cdr:x>
      <cdr:y>0.94012</cdr:y>
    </cdr:to>
    <cdr:sp macro="" textlink="">
      <cdr:nvSpPr>
        <cdr:cNvPr id="9" name="Łącznik prosty 8"/>
        <cdr:cNvSpPr/>
      </cdr:nvSpPr>
      <cdr:spPr bwMode="auto">
        <a:xfrm xmlns:a="http://schemas.openxmlformats.org/drawingml/2006/main" flipV="1">
          <a:off x="2314482" y="2282865"/>
          <a:ext cx="1338" cy="203196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D39804-E15D-40D9-A3F2-808567566B9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30d47203-49ec-4c8c-a442-62231931aab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EE36280-2085-4CD6-B0D7-3642B64B1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Zawistowska Beata</dc:creator>
  <cp:lastModifiedBy>Sobocińska Aleksandra</cp:lastModifiedBy>
  <cp:revision>4</cp:revision>
  <cp:lastPrinted>2018-04-11T14:06:00Z</cp:lastPrinted>
  <dcterms:created xsi:type="dcterms:W3CDTF">2018-04-12T12:38:00Z</dcterms:created>
  <dcterms:modified xsi:type="dcterms:W3CDTF">2018-04-13T07:05:00Z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