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23" w:rsidRPr="00AE751C" w:rsidRDefault="00685123" w:rsidP="00685123">
      <w:pPr>
        <w:pStyle w:val="tytuinformacji"/>
      </w:pPr>
      <w:r w:rsidRPr="00AE751C">
        <w:t>Wskaźniki cen towarów i usług konsumpcyjnych w </w:t>
      </w:r>
      <w:r w:rsidR="00BC50F0" w:rsidRPr="00AE751C">
        <w:t>kwietniu</w:t>
      </w:r>
      <w:r w:rsidR="00B37F5A" w:rsidRPr="00AE751C">
        <w:t xml:space="preserve"> 2020</w:t>
      </w:r>
      <w:r w:rsidR="00EE696D" w:rsidRPr="00AE751C">
        <w:t xml:space="preserve"> r.</w:t>
      </w:r>
    </w:p>
    <w:p w:rsidR="00AD4947" w:rsidRPr="00AE751C" w:rsidRDefault="00AD4947" w:rsidP="00AD4947">
      <w:pPr>
        <w:pStyle w:val="tytuinformacji"/>
        <w:rPr>
          <w:sz w:val="32"/>
          <w:szCs w:val="32"/>
        </w:rPr>
      </w:pPr>
    </w:p>
    <w:p w:rsidR="00B37F5A" w:rsidRPr="00AE751C" w:rsidRDefault="009E3F12" w:rsidP="00B37F5A">
      <w:pPr>
        <w:pStyle w:val="LID"/>
        <w:spacing w:after="0"/>
        <w:rPr>
          <w:lang w:eastAsia="en-GB"/>
        </w:rPr>
      </w:pPr>
      <w:r w:rsidRPr="00AE751C"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74287482" wp14:editId="4F0AA6B2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1828800" cy="118173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8173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6DF" w:rsidRPr="00D538E4" w:rsidRDefault="00E616DF" w:rsidP="00D538E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val="en-GB" w:eastAsia="en-GB"/>
                              </w:rPr>
                              <w:drawing>
                                <wp:inline distT="0" distB="0" distL="0" distR="0" wp14:anchorId="69F10591" wp14:editId="5E6F6F07">
                                  <wp:extent cx="334645" cy="334645"/>
                                  <wp:effectExtent l="19050" t="0" r="8255" b="0"/>
                                  <wp:docPr id="2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</w:t>
                            </w:r>
                            <w:r w:rsidRPr="00D538E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4%</w:t>
                            </w:r>
                          </w:p>
                          <w:p w:rsidR="00E616DF" w:rsidRDefault="00E616DF" w:rsidP="00B37F5A">
                            <w:pPr>
                              <w:pStyle w:val="tekstnaniebieskimtle"/>
                            </w:pPr>
                            <w:r>
                              <w:t>wzrost w porównaniu</w:t>
                            </w:r>
                          </w:p>
                          <w:p w:rsidR="00E616DF" w:rsidRDefault="00E616DF" w:rsidP="00B37F5A">
                            <w:pPr>
                              <w:pStyle w:val="tekstnaniebieskimtle"/>
                            </w:pPr>
                            <w:r>
                              <w:t>z analogicznym miesiącem</w:t>
                            </w:r>
                          </w:p>
                          <w:p w:rsidR="00E616DF" w:rsidRPr="00D538E4" w:rsidRDefault="00E616DF" w:rsidP="00B37F5A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poprzedniego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9pt;width:2in;height:93.05pt;z-index:251772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" fillcolor="#001d77" stroked="f">
                <v:textbox>
                  <w:txbxContent>
                    <w:p w:rsidR="00E616DF" w:rsidRPr="00D538E4" w:rsidRDefault="00E616DF" w:rsidP="00D538E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val="en-GB" w:eastAsia="en-GB"/>
                        </w:rPr>
                        <w:drawing>
                          <wp:inline distT="0" distB="0" distL="0" distR="0" wp14:anchorId="69F10591" wp14:editId="5E6F6F07">
                            <wp:extent cx="334645" cy="334645"/>
                            <wp:effectExtent l="19050" t="0" r="8255" b="0"/>
                            <wp:docPr id="2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</w:t>
                      </w:r>
                      <w:r w:rsidRPr="00D538E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4%</w:t>
                      </w:r>
                    </w:p>
                    <w:p w:rsidR="00E616DF" w:rsidRDefault="00E616DF" w:rsidP="00B37F5A">
                      <w:pPr>
                        <w:pStyle w:val="tekstnaniebieskimtle"/>
                      </w:pPr>
                      <w:r>
                        <w:t>wzrost w porównaniu</w:t>
                      </w:r>
                    </w:p>
                    <w:p w:rsidR="00E616DF" w:rsidRDefault="00E616DF" w:rsidP="00B37F5A">
                      <w:pPr>
                        <w:pStyle w:val="tekstnaniebieskimtle"/>
                      </w:pPr>
                      <w:r>
                        <w:t>z analogicznym miesiącem</w:t>
                      </w:r>
                    </w:p>
                    <w:p w:rsidR="00E616DF" w:rsidRPr="00D538E4" w:rsidRDefault="00E616DF" w:rsidP="00B37F5A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poprzedniego roku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7F5A" w:rsidRPr="00AE751C">
        <w:rPr>
          <w:lang w:eastAsia="en-GB"/>
        </w:rPr>
        <w:t xml:space="preserve">Ceny towarów i </w:t>
      </w:r>
      <w:r w:rsidR="00BC50F0" w:rsidRPr="00AE751C">
        <w:rPr>
          <w:lang w:eastAsia="en-GB"/>
        </w:rPr>
        <w:t>usług konsumpcyjnych w kwietniu</w:t>
      </w:r>
      <w:r w:rsidR="00B50A80" w:rsidRPr="00AE751C">
        <w:rPr>
          <w:lang w:eastAsia="en-GB"/>
        </w:rPr>
        <w:t xml:space="preserve"> </w:t>
      </w:r>
      <w:r w:rsidR="00B37F5A" w:rsidRPr="00AE751C">
        <w:rPr>
          <w:lang w:eastAsia="en-GB"/>
        </w:rPr>
        <w:t>2020 r. w porównaniu z analogiczny</w:t>
      </w:r>
      <w:r w:rsidR="00BC50F0" w:rsidRPr="00AE751C">
        <w:rPr>
          <w:lang w:eastAsia="en-GB"/>
        </w:rPr>
        <w:t>m miesiącem ub. roku wzrosły o 3,4</w:t>
      </w:r>
      <w:r w:rsidR="00B37F5A" w:rsidRPr="00AE751C">
        <w:rPr>
          <w:lang w:eastAsia="en-GB"/>
        </w:rPr>
        <w:t>% (przy wzroście ce</w:t>
      </w:r>
      <w:r w:rsidR="005C5EF8" w:rsidRPr="00AE751C">
        <w:rPr>
          <w:lang w:eastAsia="en-GB"/>
        </w:rPr>
        <w:t>n usług – o 6,5% i </w:t>
      </w:r>
      <w:r w:rsidR="00BC50F0" w:rsidRPr="00AE751C">
        <w:rPr>
          <w:lang w:eastAsia="en-GB"/>
        </w:rPr>
        <w:t>towarów – o 2,3</w:t>
      </w:r>
      <w:r w:rsidR="00B37F5A" w:rsidRPr="00AE751C">
        <w:rPr>
          <w:lang w:eastAsia="en-GB"/>
        </w:rPr>
        <w:t>%).</w:t>
      </w:r>
    </w:p>
    <w:p w:rsidR="00B37F5A" w:rsidRPr="00AE751C" w:rsidRDefault="00B37F5A" w:rsidP="00B37F5A">
      <w:pPr>
        <w:pStyle w:val="LID"/>
        <w:spacing w:before="0" w:after="0"/>
        <w:rPr>
          <w:lang w:eastAsia="en-GB"/>
        </w:rPr>
      </w:pPr>
      <w:r w:rsidRPr="00AE751C">
        <w:rPr>
          <w:lang w:eastAsia="en-GB"/>
        </w:rPr>
        <w:t>W stosunku do poprzedniego miesiąca ce</w:t>
      </w:r>
      <w:r w:rsidR="005C5EF8" w:rsidRPr="00AE751C">
        <w:rPr>
          <w:lang w:eastAsia="en-GB"/>
        </w:rPr>
        <w:t>ny towarów i </w:t>
      </w:r>
      <w:r w:rsidRPr="00AE751C">
        <w:rPr>
          <w:lang w:eastAsia="en-GB"/>
        </w:rPr>
        <w:t xml:space="preserve">usług </w:t>
      </w:r>
      <w:r w:rsidR="00BC50F0" w:rsidRPr="00AE751C">
        <w:rPr>
          <w:lang w:eastAsia="en-GB"/>
        </w:rPr>
        <w:t>obniżyły się o 0,1</w:t>
      </w:r>
      <w:r w:rsidRPr="00AE751C">
        <w:rPr>
          <w:lang w:eastAsia="en-GB"/>
        </w:rPr>
        <w:t>% (</w:t>
      </w:r>
      <w:r w:rsidR="00BC50F0" w:rsidRPr="00AE751C">
        <w:rPr>
          <w:lang w:eastAsia="en-GB"/>
        </w:rPr>
        <w:t xml:space="preserve">w tym towarów </w:t>
      </w:r>
    </w:p>
    <w:p w:rsidR="00370D51" w:rsidRPr="00AE751C" w:rsidRDefault="00B37F5A" w:rsidP="00B37F5A">
      <w:pPr>
        <w:pStyle w:val="LID"/>
        <w:spacing w:before="0" w:after="0"/>
        <w:rPr>
          <w:lang w:eastAsia="en-GB"/>
        </w:rPr>
      </w:pPr>
      <w:r w:rsidRPr="00AE751C">
        <w:rPr>
          <w:lang w:eastAsia="en-GB"/>
        </w:rPr>
        <w:t xml:space="preserve">– o </w:t>
      </w:r>
      <w:r w:rsidR="00BC50F0" w:rsidRPr="00AE751C">
        <w:rPr>
          <w:lang w:eastAsia="en-GB"/>
        </w:rPr>
        <w:t>0,6</w:t>
      </w:r>
      <w:r w:rsidRPr="00AE751C">
        <w:rPr>
          <w:lang w:eastAsia="en-GB"/>
        </w:rPr>
        <w:t xml:space="preserve">% </w:t>
      </w:r>
      <w:r w:rsidR="00BC50F0" w:rsidRPr="00AE751C">
        <w:rPr>
          <w:lang w:eastAsia="en-GB"/>
        </w:rPr>
        <w:t>przy wzroście cen usług o 1,4%).</w:t>
      </w:r>
    </w:p>
    <w:p w:rsidR="00370D51" w:rsidRPr="00AE751C" w:rsidRDefault="00370D51" w:rsidP="00370D51">
      <w:pPr>
        <w:pStyle w:val="LID"/>
        <w:spacing w:before="0" w:after="0"/>
      </w:pPr>
    </w:p>
    <w:p w:rsidR="00370D51" w:rsidRPr="00AE751C" w:rsidRDefault="00370D51" w:rsidP="00370D51">
      <w:pPr>
        <w:pStyle w:val="LID"/>
        <w:spacing w:before="0" w:after="0"/>
      </w:pPr>
    </w:p>
    <w:p w:rsidR="009E3F12" w:rsidRPr="00AE751C" w:rsidRDefault="009E3F12" w:rsidP="00164CEA">
      <w:pPr>
        <w:spacing w:before="0" w:after="100"/>
        <w:rPr>
          <w:highlight w:val="yellow"/>
        </w:rPr>
      </w:pPr>
    </w:p>
    <w:p w:rsidR="00C27D75" w:rsidRPr="00AE751C" w:rsidRDefault="00AD4947" w:rsidP="00260F39">
      <w:pPr>
        <w:pStyle w:val="tytuwykresu"/>
        <w:spacing w:after="0"/>
        <w:rPr>
          <w:bCs/>
          <w:shd w:val="clear" w:color="auto" w:fill="FFFFFF"/>
        </w:rPr>
      </w:pPr>
      <w:r w:rsidRPr="00AE751C">
        <w:t>Tablica 1.</w:t>
      </w:r>
      <w:r w:rsidRPr="00AE751C">
        <w:rPr>
          <w:shd w:val="clear" w:color="auto" w:fill="FFFFFF"/>
        </w:rPr>
        <w:t xml:space="preserve"> </w:t>
      </w:r>
      <w:r w:rsidRPr="00AE751C">
        <w:rPr>
          <w:bCs/>
          <w:shd w:val="clear" w:color="auto" w:fill="FFFFFF"/>
        </w:rPr>
        <w:t xml:space="preserve">Wskaźniki cen towarów i usług konsumpcyjnych w </w:t>
      </w:r>
      <w:r w:rsidR="00260F39" w:rsidRPr="00AE751C">
        <w:rPr>
          <w:bCs/>
          <w:shd w:val="clear" w:color="auto" w:fill="FFFFFF"/>
        </w:rPr>
        <w:t xml:space="preserve">kwietniu </w:t>
      </w:r>
      <w:r w:rsidR="00B37F5A" w:rsidRPr="00AE751C">
        <w:t>2020</w:t>
      </w:r>
      <w:r w:rsidRPr="00AE751C">
        <w:t> </w:t>
      </w:r>
      <w:r w:rsidRPr="00AE751C">
        <w:rPr>
          <w:bCs/>
          <w:shd w:val="clear" w:color="auto" w:fill="FFFFFF"/>
        </w:rPr>
        <w:t>r.</w:t>
      </w:r>
    </w:p>
    <w:tbl>
      <w:tblPr>
        <w:tblStyle w:val="Siatkatabelijasna111"/>
        <w:tblpPr w:leftFromText="141" w:rightFromText="141" w:vertAnchor="text" w:horzAnchor="margin" w:tblpY="512"/>
        <w:tblW w:w="8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211"/>
        <w:gridCol w:w="1023"/>
        <w:gridCol w:w="1023"/>
        <w:gridCol w:w="1026"/>
        <w:gridCol w:w="1055"/>
        <w:gridCol w:w="945"/>
      </w:tblGrid>
      <w:tr w:rsidR="00260F39" w:rsidRPr="00AE751C" w:rsidTr="00CF4349">
        <w:trPr>
          <w:cantSplit/>
          <w:trHeight w:val="367"/>
        </w:trPr>
        <w:tc>
          <w:tcPr>
            <w:tcW w:w="3211" w:type="dxa"/>
            <w:vMerge w:val="restart"/>
            <w:vAlign w:val="center"/>
          </w:tcPr>
          <w:p w:rsidR="00260F39" w:rsidRPr="00AE751C" w:rsidRDefault="00260F39" w:rsidP="00260F39">
            <w:pPr>
              <w:keepNext/>
              <w:tabs>
                <w:tab w:val="right" w:leader="dot" w:pos="4139"/>
              </w:tabs>
              <w:spacing w:before="240" w:after="0" w:line="240" w:lineRule="auto"/>
              <w:jc w:val="center"/>
              <w:outlineLvl w:val="0"/>
              <w:rPr>
                <w:rFonts w:eastAsia="Times New Roman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072" w:type="dxa"/>
            <w:gridSpan w:val="3"/>
            <w:vAlign w:val="center"/>
          </w:tcPr>
          <w:p w:rsidR="00260F39" w:rsidRPr="00AE751C" w:rsidRDefault="00260F39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IV 2020</w:t>
            </w:r>
          </w:p>
        </w:tc>
        <w:tc>
          <w:tcPr>
            <w:tcW w:w="1055" w:type="dxa"/>
          </w:tcPr>
          <w:p w:rsidR="00260F39" w:rsidRPr="00AE751C" w:rsidRDefault="00260F39" w:rsidP="00260F39">
            <w:pPr>
              <w:keepNext/>
              <w:tabs>
                <w:tab w:val="right" w:leader="dot" w:pos="4139"/>
              </w:tabs>
              <w:spacing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I-IV 2020</w:t>
            </w:r>
          </w:p>
        </w:tc>
        <w:tc>
          <w:tcPr>
            <w:tcW w:w="945" w:type="dxa"/>
            <w:vMerge w:val="restart"/>
            <w:vAlign w:val="center"/>
          </w:tcPr>
          <w:p w:rsidR="00260F39" w:rsidRPr="00AE751C" w:rsidRDefault="00260F39" w:rsidP="00260F39">
            <w:pPr>
              <w:keepNext/>
              <w:tabs>
                <w:tab w:val="right" w:leader="dot" w:pos="4139"/>
              </w:tabs>
              <w:spacing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WPŁYW ZMIAN</w:t>
            </w:r>
          </w:p>
          <w:p w:rsidR="00260F39" w:rsidRPr="00AE751C" w:rsidRDefault="00260F39" w:rsidP="00260F39">
            <w:pPr>
              <w:keepNext/>
              <w:tabs>
                <w:tab w:val="right" w:leader="dot" w:pos="4139"/>
              </w:tabs>
              <w:spacing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III 2020=</w:t>
            </w:r>
            <w:r w:rsidRPr="00AE751C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br/>
              <w:t>=100</w:t>
            </w:r>
          </w:p>
        </w:tc>
      </w:tr>
      <w:tr w:rsidR="00260F39" w:rsidRPr="00AE751C" w:rsidTr="00CF4349">
        <w:trPr>
          <w:cantSplit/>
          <w:trHeight w:val="57"/>
        </w:trPr>
        <w:tc>
          <w:tcPr>
            <w:tcW w:w="3211" w:type="dxa"/>
            <w:vMerge/>
            <w:tcBorders>
              <w:bottom w:val="single" w:sz="12" w:space="0" w:color="212492"/>
            </w:tcBorders>
            <w:vAlign w:val="center"/>
          </w:tcPr>
          <w:p w:rsidR="00260F39" w:rsidRPr="00AE751C" w:rsidRDefault="00260F39" w:rsidP="00260F39">
            <w:pPr>
              <w:keepNext/>
              <w:tabs>
                <w:tab w:val="right" w:leader="dot" w:pos="4139"/>
              </w:tabs>
              <w:spacing w:before="240" w:after="0" w:line="240" w:lineRule="auto"/>
              <w:jc w:val="center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 w:themeColor="text1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023" w:type="dxa"/>
            <w:tcBorders>
              <w:bottom w:val="single" w:sz="12" w:space="0" w:color="212492"/>
            </w:tcBorders>
            <w:vAlign w:val="center"/>
          </w:tcPr>
          <w:p w:rsidR="00260F39" w:rsidRPr="00AE751C" w:rsidRDefault="00260F39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IV 2019=</w:t>
            </w: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23" w:type="dxa"/>
            <w:tcBorders>
              <w:bottom w:val="single" w:sz="12" w:space="0" w:color="212492"/>
            </w:tcBorders>
            <w:vAlign w:val="center"/>
          </w:tcPr>
          <w:p w:rsidR="00260F39" w:rsidRPr="00AE751C" w:rsidRDefault="00260F39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XII 2019=</w:t>
            </w: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26" w:type="dxa"/>
            <w:tcBorders>
              <w:bottom w:val="single" w:sz="12" w:space="0" w:color="212492"/>
            </w:tcBorders>
            <w:vAlign w:val="center"/>
          </w:tcPr>
          <w:p w:rsidR="00260F39" w:rsidRPr="00AE751C" w:rsidRDefault="00260F39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III 2020=</w:t>
            </w: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55" w:type="dxa"/>
            <w:tcBorders>
              <w:bottom w:val="single" w:sz="12" w:space="0" w:color="212492"/>
            </w:tcBorders>
          </w:tcPr>
          <w:p w:rsidR="00260F39" w:rsidRPr="00AE751C" w:rsidRDefault="00260F39" w:rsidP="00260F39">
            <w:pPr>
              <w:keepNext/>
              <w:tabs>
                <w:tab w:val="right" w:leader="dot" w:pos="4139"/>
              </w:tabs>
              <w:spacing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I-IV 2019=</w:t>
            </w:r>
            <w:r w:rsidRPr="00AE751C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945" w:type="dxa"/>
            <w:vMerge/>
            <w:tcBorders>
              <w:bottom w:val="single" w:sz="12" w:space="0" w:color="212492"/>
            </w:tcBorders>
            <w:vAlign w:val="center"/>
          </w:tcPr>
          <w:p w:rsidR="00260F39" w:rsidRPr="00AE751C" w:rsidRDefault="00260F39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CF4349" w:rsidRPr="00AE751C" w:rsidTr="00CF4349">
        <w:trPr>
          <w:cantSplit/>
          <w:trHeight w:val="57"/>
        </w:trPr>
        <w:tc>
          <w:tcPr>
            <w:tcW w:w="3211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CF4349" w:rsidRPr="00AE751C" w:rsidRDefault="00CF4349" w:rsidP="00CF4349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4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AE751C"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023" w:type="dxa"/>
            <w:tcBorders>
              <w:top w:val="single" w:sz="12" w:space="0" w:color="212492"/>
              <w:bottom w:val="single" w:sz="4" w:space="0" w:color="212492"/>
            </w:tcBorders>
          </w:tcPr>
          <w:p w:rsidR="00CF4349" w:rsidRPr="00AE751C" w:rsidRDefault="00CF4349" w:rsidP="00CF4349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b/>
                <w:color w:val="000000" w:themeColor="text1"/>
                <w:sz w:val="16"/>
                <w:szCs w:val="16"/>
              </w:rPr>
              <w:t>103,4</w:t>
            </w:r>
          </w:p>
        </w:tc>
        <w:tc>
          <w:tcPr>
            <w:tcW w:w="1023" w:type="dxa"/>
            <w:tcBorders>
              <w:top w:val="single" w:sz="12" w:space="0" w:color="212492"/>
              <w:bottom w:val="single" w:sz="4" w:space="0" w:color="212492"/>
            </w:tcBorders>
          </w:tcPr>
          <w:p w:rsidR="00CF4349" w:rsidRPr="00AE751C" w:rsidRDefault="00CF4349" w:rsidP="00CF4349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b/>
                <w:color w:val="000000" w:themeColor="text1"/>
                <w:sz w:val="16"/>
                <w:szCs w:val="16"/>
              </w:rPr>
              <w:t>101,7</w:t>
            </w:r>
          </w:p>
        </w:tc>
        <w:tc>
          <w:tcPr>
            <w:tcW w:w="1026" w:type="dxa"/>
            <w:tcBorders>
              <w:top w:val="single" w:sz="12" w:space="0" w:color="212492"/>
              <w:bottom w:val="single" w:sz="4" w:space="0" w:color="212492"/>
            </w:tcBorders>
          </w:tcPr>
          <w:p w:rsidR="00CF4349" w:rsidRPr="00AE751C" w:rsidRDefault="00CF4349" w:rsidP="00CF4349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b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1055" w:type="dxa"/>
            <w:tcBorders>
              <w:top w:val="single" w:sz="12" w:space="0" w:color="212492"/>
              <w:bottom w:val="single" w:sz="4" w:space="0" w:color="212492"/>
            </w:tcBorders>
          </w:tcPr>
          <w:p w:rsidR="00CF4349" w:rsidRPr="00AE751C" w:rsidRDefault="00CF4349" w:rsidP="00CF4349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b/>
                <w:color w:val="000000" w:themeColor="text1"/>
                <w:sz w:val="16"/>
                <w:szCs w:val="16"/>
              </w:rPr>
              <w:t>104,2</w:t>
            </w:r>
          </w:p>
        </w:tc>
        <w:tc>
          <w:tcPr>
            <w:tcW w:w="945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CF4349" w:rsidRPr="00AE751C" w:rsidRDefault="00CF4349" w:rsidP="00CF4349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CF4349" w:rsidRPr="00AE751C" w:rsidTr="00CF4349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CF4349" w:rsidRPr="00AE751C" w:rsidRDefault="00CF4349" w:rsidP="00CF4349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AE751C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 xml:space="preserve">Żywność i napoje </w:t>
            </w:r>
            <w:r w:rsidRPr="00AE751C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br/>
              <w:t>bezalkoholowe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107,4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103,9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107,6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0,08</w:t>
            </w:r>
          </w:p>
        </w:tc>
      </w:tr>
      <w:tr w:rsidR="00CF4349" w:rsidRPr="00AE751C" w:rsidTr="00CF4349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CF4349" w:rsidRPr="00AE751C" w:rsidRDefault="00CF4349" w:rsidP="00CF4349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AE751C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 xml:space="preserve">Napoje alkoholowe </w:t>
            </w:r>
            <w:r w:rsidRPr="00AE751C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br/>
              <w:t>i wyroby tytoniowe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104,9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103,9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104,0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0,03</w:t>
            </w:r>
          </w:p>
        </w:tc>
      </w:tr>
      <w:tr w:rsidR="00CF4349" w:rsidRPr="00AE751C" w:rsidTr="00CF4349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CF4349" w:rsidRPr="00AE751C" w:rsidRDefault="00CF4349" w:rsidP="00CF4349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Odzież i obuwie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96,6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98,0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98,0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0,06</w:t>
            </w:r>
          </w:p>
        </w:tc>
      </w:tr>
      <w:tr w:rsidR="00CF4349" w:rsidRPr="00AE751C" w:rsidTr="00CF4349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CF4349" w:rsidRPr="00AE751C" w:rsidRDefault="00CF4349" w:rsidP="00CF4349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1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Użytkowanie mieszkania </w:t>
            </w: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lub domu i nośniki energii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107,5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105,6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107,1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0,13</w:t>
            </w:r>
          </w:p>
        </w:tc>
      </w:tr>
      <w:tr w:rsidR="00CF4349" w:rsidRPr="00AE751C" w:rsidTr="00CF4349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CF4349" w:rsidRPr="00AE751C" w:rsidRDefault="00CF4349" w:rsidP="00CF4349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Wyposażenie mieszkania i prowadzenie</w:t>
            </w: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br/>
              <w:t>gospodarstwa domowego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CF4349" w:rsidRPr="00AE751C" w:rsidTr="00CF4349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CF4349" w:rsidRPr="00AE751C" w:rsidRDefault="00CF4349" w:rsidP="00CF4349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Zdrowie 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104,4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102,1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104,0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CF4349" w:rsidRPr="00AE751C" w:rsidTr="00CF4349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CF4349" w:rsidRPr="00AE751C" w:rsidRDefault="00CF4349" w:rsidP="00CF4349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90,1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91,7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95,2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98,0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-0,44</w:t>
            </w:r>
          </w:p>
        </w:tc>
      </w:tr>
      <w:tr w:rsidR="00CF4349" w:rsidRPr="00AE751C" w:rsidTr="00CF4349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CF4349" w:rsidRPr="00AE751C" w:rsidRDefault="00CF4349" w:rsidP="00CF4349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Łączność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102,7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102,2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CF4349" w:rsidRPr="00AE751C" w:rsidTr="00CF4349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CF4349" w:rsidRPr="00AE751C" w:rsidRDefault="00CF4349" w:rsidP="00CF4349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Rekreacja i kultura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CF4349" w:rsidRPr="00AE751C" w:rsidTr="00CF4349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CF4349" w:rsidRPr="00AE751C" w:rsidRDefault="00CF4349" w:rsidP="00CF4349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105,1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101,0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105,0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4349" w:rsidRPr="00AE751C" w:rsidTr="00CF4349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CF4349" w:rsidRPr="00AE751C" w:rsidRDefault="00CF4349" w:rsidP="00CF4349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Restauracje i hotele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106,3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102,4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106,1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0,03</w:t>
            </w:r>
          </w:p>
        </w:tc>
      </w:tr>
      <w:tr w:rsidR="00CF4349" w:rsidRPr="00AE751C" w:rsidTr="00CF4349">
        <w:trPr>
          <w:cantSplit/>
          <w:trHeight w:val="445"/>
        </w:trPr>
        <w:tc>
          <w:tcPr>
            <w:tcW w:w="3211" w:type="dxa"/>
            <w:tcBorders>
              <w:top w:val="single" w:sz="4" w:space="0" w:color="212492"/>
              <w:bottom w:val="nil"/>
            </w:tcBorders>
            <w:vAlign w:val="center"/>
          </w:tcPr>
          <w:p w:rsidR="00CF4349" w:rsidRPr="00AE751C" w:rsidRDefault="00CF4349" w:rsidP="00CF4349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Inne towary i usługi</w:t>
            </w:r>
          </w:p>
        </w:tc>
        <w:tc>
          <w:tcPr>
            <w:tcW w:w="1023" w:type="dxa"/>
            <w:tcBorders>
              <w:top w:val="single" w:sz="4" w:space="0" w:color="212492"/>
              <w:bottom w:val="nil"/>
            </w:tcBorders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101,5</w:t>
            </w:r>
          </w:p>
        </w:tc>
        <w:tc>
          <w:tcPr>
            <w:tcW w:w="1023" w:type="dxa"/>
            <w:tcBorders>
              <w:top w:val="single" w:sz="4" w:space="0" w:color="212492"/>
              <w:bottom w:val="nil"/>
            </w:tcBorders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99,5</w:t>
            </w:r>
          </w:p>
        </w:tc>
        <w:tc>
          <w:tcPr>
            <w:tcW w:w="1026" w:type="dxa"/>
            <w:tcBorders>
              <w:top w:val="single" w:sz="4" w:space="0" w:color="212492"/>
              <w:bottom w:val="nil"/>
            </w:tcBorders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99,5</w:t>
            </w:r>
          </w:p>
        </w:tc>
        <w:tc>
          <w:tcPr>
            <w:tcW w:w="1055" w:type="dxa"/>
            <w:tcBorders>
              <w:top w:val="single" w:sz="4" w:space="0" w:color="212492"/>
              <w:bottom w:val="nil"/>
            </w:tcBorders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945" w:type="dxa"/>
            <w:tcBorders>
              <w:top w:val="single" w:sz="4" w:space="0" w:color="212492"/>
              <w:bottom w:val="nil"/>
            </w:tcBorders>
            <w:shd w:val="clear" w:color="auto" w:fill="auto"/>
          </w:tcPr>
          <w:p w:rsidR="00CF4349" w:rsidRPr="00AE751C" w:rsidRDefault="00CF4349" w:rsidP="00CF4349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751C">
              <w:rPr>
                <w:rFonts w:cs="Arial"/>
                <w:color w:val="000000" w:themeColor="text1"/>
                <w:sz w:val="16"/>
                <w:szCs w:val="16"/>
              </w:rPr>
              <w:t>-0,03</w:t>
            </w:r>
          </w:p>
        </w:tc>
      </w:tr>
    </w:tbl>
    <w:p w:rsidR="00A07F00" w:rsidRPr="00AE751C" w:rsidRDefault="00292DBF" w:rsidP="00E37F13">
      <w:pPr>
        <w:pStyle w:val="Nagwek1"/>
        <w:spacing w:before="480" w:line="240" w:lineRule="exact"/>
      </w:pPr>
      <w:r w:rsidRPr="00AE751C">
        <w:rPr>
          <w:shd w:val="clear" w:color="auto" w:fill="FFFFFF"/>
        </w:rPr>
        <w:lastRenderedPageBreak/>
        <w:t>Wpływ</w:t>
      </w:r>
      <w:r w:rsidR="00A07F00" w:rsidRPr="00AE751C">
        <w:rPr>
          <w:shd w:val="clear" w:color="auto" w:fill="FFFFFF"/>
        </w:rPr>
        <w:t xml:space="preserve"> zmian cen na wskaźnik</w:t>
      </w:r>
      <w:r w:rsidR="00B97152" w:rsidRPr="00AE751C">
        <w:rPr>
          <w:shd w:val="clear" w:color="auto" w:fill="FFFFFF"/>
        </w:rPr>
        <w:t xml:space="preserve"> cen</w:t>
      </w:r>
      <w:r w:rsidR="00A07F00" w:rsidRPr="00AE751C">
        <w:rPr>
          <w:shd w:val="clear" w:color="auto" w:fill="FFFFFF"/>
        </w:rPr>
        <w:t xml:space="preserve"> towarów i usług konsumpcyjnych ogółem</w:t>
      </w:r>
    </w:p>
    <w:p w:rsidR="00C23F3B" w:rsidRPr="00AE751C" w:rsidRDefault="00A07F00" w:rsidP="00C23F3B">
      <w:pPr>
        <w:spacing w:before="0" w:after="0"/>
      </w:pPr>
      <w:r w:rsidRPr="00AE751C">
        <w:t xml:space="preserve">W </w:t>
      </w:r>
      <w:r w:rsidR="00CF4349" w:rsidRPr="00AE751C">
        <w:t>kwietniu</w:t>
      </w:r>
      <w:r w:rsidRPr="00AE751C">
        <w:t xml:space="preserve"> br. w porównaniu z poprzednim miesiącem największy wpływ na wskaźnik cen </w:t>
      </w:r>
      <w:r w:rsidR="00917CCF" w:rsidRPr="00AE751C">
        <w:br/>
      </w:r>
      <w:r w:rsidRPr="00AE751C">
        <w:t xml:space="preserve">towarów i usług konsumpcyjnych ogółem miały </w:t>
      </w:r>
      <w:r w:rsidR="00CF4349" w:rsidRPr="00AE751C">
        <w:t>niższe ceny</w:t>
      </w:r>
      <w:r w:rsidRPr="00AE751C">
        <w:t xml:space="preserve"> </w:t>
      </w:r>
      <w:r w:rsidR="00CF4349" w:rsidRPr="00AE751C">
        <w:t xml:space="preserve">w zakresie transportu </w:t>
      </w:r>
      <w:r w:rsidR="00C662A5" w:rsidRPr="00AE751C">
        <w:t>(</w:t>
      </w:r>
      <w:r w:rsidR="0022312E" w:rsidRPr="00AE751C">
        <w:t xml:space="preserve">o </w:t>
      </w:r>
      <w:r w:rsidR="00CF4349" w:rsidRPr="00AE751C">
        <w:t>4,8</w:t>
      </w:r>
      <w:r w:rsidR="0022312E" w:rsidRPr="00AE751C">
        <w:t>%)</w:t>
      </w:r>
      <w:r w:rsidRPr="00AE751C">
        <w:t>, które</w:t>
      </w:r>
      <w:r w:rsidR="00CF4349" w:rsidRPr="00AE751C">
        <w:t xml:space="preserve"> obniżyły </w:t>
      </w:r>
      <w:r w:rsidR="002133F1" w:rsidRPr="00AE751C">
        <w:t xml:space="preserve">ten wskaźnik o </w:t>
      </w:r>
      <w:r w:rsidR="00CF4349" w:rsidRPr="00AE751C">
        <w:t>0,44</w:t>
      </w:r>
      <w:r w:rsidRPr="00AE751C">
        <w:t xml:space="preserve"> p. proc.</w:t>
      </w:r>
      <w:r w:rsidR="00ED63E8" w:rsidRPr="00AE751C">
        <w:t xml:space="preserve"> </w:t>
      </w:r>
      <w:r w:rsidR="00CF4349" w:rsidRPr="00AE751C">
        <w:t xml:space="preserve">Wyższe </w:t>
      </w:r>
      <w:r w:rsidR="00ED63E8" w:rsidRPr="00AE751C">
        <w:t xml:space="preserve">ceny w zakresie </w:t>
      </w:r>
      <w:r w:rsidR="00D23F61" w:rsidRPr="00AE751C">
        <w:t>mieszkania (o 0,6</w:t>
      </w:r>
      <w:r w:rsidR="00ED63E8" w:rsidRPr="00AE751C">
        <w:t>%)</w:t>
      </w:r>
      <w:r w:rsidR="00D23F61" w:rsidRPr="00AE751C">
        <w:t xml:space="preserve">, </w:t>
      </w:r>
      <w:r w:rsidR="007034D7" w:rsidRPr="00AE751C">
        <w:br/>
      </w:r>
      <w:r w:rsidR="00D23F61" w:rsidRPr="00AE751C">
        <w:t>żywności (o 0,3</w:t>
      </w:r>
      <w:r w:rsidR="00394B48" w:rsidRPr="00AE751C">
        <w:t xml:space="preserve">%) </w:t>
      </w:r>
      <w:r w:rsidR="00D23F61" w:rsidRPr="00AE751C">
        <w:t>oraz odzieży i obuwia (o 1,4%) podwyższył</w:t>
      </w:r>
      <w:r w:rsidR="00392E81" w:rsidRPr="00AE751C">
        <w:t>y</w:t>
      </w:r>
      <w:r w:rsidR="00394B48" w:rsidRPr="00AE751C">
        <w:t xml:space="preserve"> </w:t>
      </w:r>
      <w:r w:rsidR="005A047A" w:rsidRPr="00AE751C">
        <w:t xml:space="preserve">ten </w:t>
      </w:r>
      <w:r w:rsidR="00394B48" w:rsidRPr="00AE751C">
        <w:t>wskaźnik</w:t>
      </w:r>
      <w:r w:rsidR="007034D7" w:rsidRPr="00AE751C">
        <w:t xml:space="preserve"> odpowiednio o </w:t>
      </w:r>
      <w:r w:rsidR="00B210CA" w:rsidRPr="00AE751C">
        <w:t>0,</w:t>
      </w:r>
      <w:r w:rsidR="007034D7" w:rsidRPr="00AE751C">
        <w:t>14 p. </w:t>
      </w:r>
      <w:r w:rsidR="00D23F61" w:rsidRPr="00AE751C">
        <w:t xml:space="preserve">proc., </w:t>
      </w:r>
      <w:r w:rsidR="00B210CA" w:rsidRPr="00AE751C">
        <w:t>0,0</w:t>
      </w:r>
      <w:r w:rsidR="00D23F61" w:rsidRPr="00AE751C">
        <w:t>8</w:t>
      </w:r>
      <w:r w:rsidR="00B210CA" w:rsidRPr="00AE751C">
        <w:t xml:space="preserve"> p. proc.</w:t>
      </w:r>
      <w:r w:rsidR="00D23F61" w:rsidRPr="00AE751C">
        <w:t xml:space="preserve"> i 0,06 p. proc.</w:t>
      </w:r>
    </w:p>
    <w:p w:rsidR="00A55B73" w:rsidRDefault="00A07F00" w:rsidP="00934246">
      <w:pPr>
        <w:spacing w:before="0" w:after="0"/>
      </w:pPr>
      <w:r w:rsidRPr="00AE751C">
        <w:t>W porównaniu z miesiącem analogicznym poprzedniego roku wyższe ceny żywności (o </w:t>
      </w:r>
      <w:r w:rsidR="003A4977" w:rsidRPr="00AE751C">
        <w:t>7,8</w:t>
      </w:r>
      <w:r w:rsidR="00674A8B" w:rsidRPr="00AE751C">
        <w:t xml:space="preserve">%) </w:t>
      </w:r>
      <w:r w:rsidRPr="00AE751C">
        <w:t>oraz w zakresie</w:t>
      </w:r>
      <w:r w:rsidR="003A0271" w:rsidRPr="00AE751C">
        <w:t xml:space="preserve"> </w:t>
      </w:r>
      <w:r w:rsidR="00FD6659" w:rsidRPr="00AE751C">
        <w:t>mieszkania</w:t>
      </w:r>
      <w:r w:rsidR="00445F90" w:rsidRPr="00AE751C">
        <w:t xml:space="preserve"> (o 5,9</w:t>
      </w:r>
      <w:r w:rsidR="003A0271" w:rsidRPr="00AE751C">
        <w:t xml:space="preserve">%) </w:t>
      </w:r>
      <w:r w:rsidRPr="00AE751C">
        <w:t>pod</w:t>
      </w:r>
      <w:r w:rsidRPr="00AE751C">
        <w:softHyphen/>
        <w:t>nio</w:t>
      </w:r>
      <w:r w:rsidR="00445F90" w:rsidRPr="00AE751C">
        <w:t>sły</w:t>
      </w:r>
      <w:r w:rsidR="003A4977" w:rsidRPr="00AE751C">
        <w:t xml:space="preserve"> ten wskaźnik odpowiednio o 1,79</w:t>
      </w:r>
      <w:r w:rsidRPr="00AE751C">
        <w:t xml:space="preserve"> p. proc.</w:t>
      </w:r>
      <w:r w:rsidR="0066616C" w:rsidRPr="00AE751C">
        <w:t xml:space="preserve"> i </w:t>
      </w:r>
      <w:r w:rsidR="00445F90" w:rsidRPr="00AE751C">
        <w:t>1,</w:t>
      </w:r>
      <w:r w:rsidR="003A4977" w:rsidRPr="00AE751C">
        <w:t>41</w:t>
      </w:r>
      <w:r w:rsidR="0066616C" w:rsidRPr="00AE751C">
        <w:t> </w:t>
      </w:r>
      <w:r w:rsidR="003A0271" w:rsidRPr="00AE751C">
        <w:t>p. proc.</w:t>
      </w:r>
      <w:r w:rsidRPr="00AE751C">
        <w:t xml:space="preserve"> Niższe ceny </w:t>
      </w:r>
      <w:r w:rsidR="0069687E" w:rsidRPr="00AE751C">
        <w:t>w zakresie tra</w:t>
      </w:r>
      <w:r w:rsidR="00854143" w:rsidRPr="00AE751C">
        <w:t>nsportu</w:t>
      </w:r>
      <w:r w:rsidRPr="00AE751C">
        <w:t xml:space="preserve"> (o </w:t>
      </w:r>
      <w:r w:rsidR="003A4977" w:rsidRPr="00AE751C">
        <w:t>9,9</w:t>
      </w:r>
      <w:r w:rsidR="00674A8B" w:rsidRPr="00AE751C">
        <w:t xml:space="preserve">%) </w:t>
      </w:r>
      <w:r w:rsidRPr="00AE751C">
        <w:t xml:space="preserve">oraz </w:t>
      </w:r>
      <w:r w:rsidR="00854143" w:rsidRPr="00AE751C">
        <w:t xml:space="preserve">odzieży i obuwia </w:t>
      </w:r>
      <w:r w:rsidRPr="00AE751C">
        <w:t xml:space="preserve">(o </w:t>
      </w:r>
      <w:r w:rsidR="003A4977" w:rsidRPr="00AE751C">
        <w:t>3,4</w:t>
      </w:r>
      <w:r w:rsidRPr="00AE751C">
        <w:t>%) o</w:t>
      </w:r>
      <w:r w:rsidR="003A4977" w:rsidRPr="00AE751C">
        <w:t>bn</w:t>
      </w:r>
      <w:r w:rsidR="003A4977" w:rsidRPr="00AE751C">
        <w:t>i</w:t>
      </w:r>
      <w:r w:rsidR="003A4977" w:rsidRPr="00AE751C">
        <w:t>żyły wskaźnik odpowiednio o 1</w:t>
      </w:r>
      <w:r w:rsidRPr="00AE751C">
        <w:t>,</w:t>
      </w:r>
      <w:r w:rsidR="003A4977" w:rsidRPr="00AE751C">
        <w:t>00</w:t>
      </w:r>
      <w:r w:rsidR="00674A8B" w:rsidRPr="00AE751C">
        <w:t xml:space="preserve"> p. proc. </w:t>
      </w:r>
      <w:r w:rsidRPr="00AE751C">
        <w:t>i 0,</w:t>
      </w:r>
      <w:r w:rsidR="003A4977" w:rsidRPr="00AE751C">
        <w:t>18</w:t>
      </w:r>
      <w:r w:rsidRPr="00AE751C">
        <w:t xml:space="preserve"> p. proc.</w:t>
      </w:r>
    </w:p>
    <w:p w:rsidR="00934246" w:rsidRPr="00AE751C" w:rsidRDefault="00934246" w:rsidP="00934246">
      <w:pPr>
        <w:spacing w:before="0" w:after="0"/>
        <w:rPr>
          <w:b/>
          <w:spacing w:val="-2"/>
          <w:sz w:val="18"/>
        </w:rPr>
      </w:pPr>
    </w:p>
    <w:p w:rsidR="00A07F00" w:rsidRPr="00AE751C" w:rsidRDefault="00E70563" w:rsidP="0080551D">
      <w:pPr>
        <w:pStyle w:val="tytuwykresu"/>
        <w:ind w:left="794" w:hanging="794"/>
        <w:rPr>
          <w:shd w:val="clear" w:color="auto" w:fill="FFFFFF"/>
        </w:rPr>
      </w:pPr>
      <w:r w:rsidRPr="00AE751C">
        <w:rPr>
          <w:noProof/>
          <w:lang w:val="en-GB" w:eastAsia="en-GB"/>
        </w:rPr>
        <w:drawing>
          <wp:anchor distT="0" distB="0" distL="114300" distR="114300" simplePos="0" relativeHeight="251773952" behindDoc="0" locked="0" layoutInCell="1" allowOverlap="1" wp14:anchorId="66A9E416" wp14:editId="1EA00FA3">
            <wp:simplePos x="0" y="0"/>
            <wp:positionH relativeFrom="column">
              <wp:posOffset>-9525</wp:posOffset>
            </wp:positionH>
            <wp:positionV relativeFrom="paragraph">
              <wp:posOffset>472440</wp:posOffset>
            </wp:positionV>
            <wp:extent cx="5122545" cy="2644140"/>
            <wp:effectExtent l="0" t="0" r="0" b="0"/>
            <wp:wrapSquare wrapText="bothSides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F00" w:rsidRPr="00AE751C">
        <w:t xml:space="preserve">Wykres </w:t>
      </w:r>
      <w:r w:rsidR="00761070" w:rsidRPr="00AE751C">
        <w:t>1</w:t>
      </w:r>
      <w:r w:rsidR="00A07F00" w:rsidRPr="00AE751C">
        <w:t>.</w:t>
      </w:r>
      <w:r w:rsidR="00A07F00" w:rsidRPr="00AE751C">
        <w:rPr>
          <w:shd w:val="clear" w:color="auto" w:fill="FFFFFF"/>
        </w:rPr>
        <w:t xml:space="preserve"> Wpływ zmian cen wybranych grup towarów i usług konsumpcyjnych w </w:t>
      </w:r>
      <w:r w:rsidR="00450616" w:rsidRPr="00AE751C">
        <w:rPr>
          <w:shd w:val="clear" w:color="auto" w:fill="FFFFFF"/>
        </w:rPr>
        <w:t xml:space="preserve">kwietniu </w:t>
      </w:r>
      <w:r w:rsidR="001660CA" w:rsidRPr="00AE751C">
        <w:rPr>
          <w:shd w:val="clear" w:color="auto" w:fill="FFFFFF"/>
        </w:rPr>
        <w:t>2020</w:t>
      </w:r>
      <w:r w:rsidR="00A07F00" w:rsidRPr="00AE751C">
        <w:rPr>
          <w:shd w:val="clear" w:color="auto" w:fill="FFFFFF"/>
        </w:rPr>
        <w:t xml:space="preserve"> r.</w:t>
      </w:r>
      <w:r w:rsidR="00A07F00" w:rsidRPr="00AE751C">
        <w:rPr>
          <w:noProof/>
          <w:shd w:val="clear" w:color="auto" w:fill="FFFFFF"/>
          <w:lang w:eastAsia="pl-PL"/>
        </w:rPr>
        <w:t xml:space="preserve"> </w:t>
      </w:r>
      <w:r w:rsidR="0051646A" w:rsidRPr="00AE751C">
        <w:rPr>
          <w:noProof/>
          <w:shd w:val="clear" w:color="auto" w:fill="FFFFFF"/>
          <w:lang w:eastAsia="pl-PL"/>
        </w:rPr>
        <w:br/>
        <w:t>(z</w:t>
      </w:r>
      <w:r w:rsidR="0051646A" w:rsidRPr="00AE751C">
        <w:rPr>
          <w:shd w:val="clear" w:color="auto" w:fill="FFFFFF"/>
        </w:rPr>
        <w:t>miana w p. proc. do okresu poprzedniego)</w:t>
      </w:r>
    </w:p>
    <w:p w:rsidR="00A55B73" w:rsidRPr="00AE751C" w:rsidRDefault="00A55B73" w:rsidP="0080551D">
      <w:pPr>
        <w:spacing w:before="0" w:after="160" w:line="259" w:lineRule="auto"/>
        <w:ind w:left="794" w:hanging="794"/>
        <w:rPr>
          <w:b/>
          <w:spacing w:val="-2"/>
          <w:sz w:val="18"/>
        </w:rPr>
      </w:pPr>
    </w:p>
    <w:p w:rsidR="00D11CF3" w:rsidRPr="00AE751C" w:rsidRDefault="005F4399" w:rsidP="0080551D">
      <w:pPr>
        <w:spacing w:before="0" w:after="160" w:line="259" w:lineRule="auto"/>
        <w:ind w:left="794" w:hanging="794"/>
        <w:rPr>
          <w:b/>
          <w:spacing w:val="-2"/>
          <w:sz w:val="18"/>
        </w:rPr>
      </w:pPr>
      <w:r w:rsidRPr="00AE751C">
        <w:rPr>
          <w:b/>
          <w:spacing w:val="-2"/>
          <w:sz w:val="18"/>
        </w:rPr>
        <w:t xml:space="preserve">Wykres 2. System wag stosowany w obliczeniach wskaźników cen towarów </w:t>
      </w:r>
      <w:r w:rsidR="00A51BB2" w:rsidRPr="00AE751C">
        <w:rPr>
          <w:b/>
          <w:spacing w:val="-2"/>
          <w:sz w:val="18"/>
        </w:rPr>
        <w:br/>
      </w:r>
      <w:r w:rsidR="0022272D" w:rsidRPr="00AE751C">
        <w:rPr>
          <w:b/>
          <w:spacing w:val="-2"/>
          <w:sz w:val="18"/>
        </w:rPr>
        <w:t>i usług konsumpcyjnych w 2020</w:t>
      </w:r>
      <w:r w:rsidRPr="00AE751C">
        <w:rPr>
          <w:b/>
          <w:spacing w:val="-2"/>
          <w:sz w:val="18"/>
        </w:rPr>
        <w:t xml:space="preserve"> r.</w:t>
      </w:r>
    </w:p>
    <w:p w:rsidR="0022272D" w:rsidRPr="00AE751C" w:rsidRDefault="0022272D">
      <w:pPr>
        <w:spacing w:before="0" w:after="160" w:line="259" w:lineRule="auto"/>
        <w:rPr>
          <w:b/>
          <w:spacing w:val="-2"/>
          <w:sz w:val="18"/>
        </w:rPr>
      </w:pPr>
      <w:r w:rsidRPr="00AE751C">
        <w:rPr>
          <w:noProof/>
          <w:lang w:val="en-GB" w:eastAsia="en-GB"/>
        </w:rPr>
        <w:drawing>
          <wp:inline distT="0" distB="0" distL="0" distR="0" wp14:anchorId="7D84AC6A" wp14:editId="65D7544B">
            <wp:extent cx="5122545" cy="3599815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55B73" w:rsidRPr="00AE751C" w:rsidRDefault="00A55B73">
      <w:pPr>
        <w:spacing w:before="0" w:after="160" w:line="259" w:lineRule="auto"/>
        <w:rPr>
          <w:b/>
          <w:spacing w:val="-2"/>
          <w:sz w:val="18"/>
        </w:rPr>
      </w:pPr>
      <w:r w:rsidRPr="00AE751C">
        <w:br w:type="page"/>
      </w:r>
    </w:p>
    <w:p w:rsidR="003A440F" w:rsidRPr="00AE751C" w:rsidRDefault="00891A48" w:rsidP="00C27D75">
      <w:pPr>
        <w:pStyle w:val="tytuwykresu"/>
        <w:rPr>
          <w:b w:val="0"/>
          <w:noProof/>
          <w:shd w:val="clear" w:color="auto" w:fill="FFFFFF"/>
          <w:lang w:eastAsia="pl-PL"/>
        </w:rPr>
      </w:pPr>
      <w:r w:rsidRPr="00AE751C">
        <w:rPr>
          <w:noProof/>
          <w:lang w:val="en-GB" w:eastAsia="en-GB"/>
        </w:rPr>
        <w:lastRenderedPageBreak/>
        <w:drawing>
          <wp:anchor distT="0" distB="0" distL="114300" distR="114300" simplePos="0" relativeHeight="251659776" behindDoc="0" locked="0" layoutInCell="1" allowOverlap="1" wp14:anchorId="10C9AFC5" wp14:editId="2468C8F9">
            <wp:simplePos x="0" y="0"/>
            <wp:positionH relativeFrom="column">
              <wp:posOffset>-79131</wp:posOffset>
            </wp:positionH>
            <wp:positionV relativeFrom="paragraph">
              <wp:posOffset>327269</wp:posOffset>
            </wp:positionV>
            <wp:extent cx="5122800" cy="2545200"/>
            <wp:effectExtent l="0" t="0" r="1905" b="26670"/>
            <wp:wrapSquare wrapText="bothSides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40F" w:rsidRPr="00AE751C">
        <w:t xml:space="preserve">Wykres </w:t>
      </w:r>
      <w:r w:rsidR="00CF08EF" w:rsidRPr="00AE751C">
        <w:t>3</w:t>
      </w:r>
      <w:r w:rsidR="003A440F" w:rsidRPr="00AE751C">
        <w:t>.</w:t>
      </w:r>
      <w:r w:rsidR="003A440F" w:rsidRPr="00AE751C">
        <w:rPr>
          <w:shd w:val="clear" w:color="auto" w:fill="FFFFFF"/>
        </w:rPr>
        <w:t xml:space="preserve"> C</w:t>
      </w:r>
      <w:r w:rsidR="003A440F" w:rsidRPr="00AE751C">
        <w:rPr>
          <w:bCs/>
          <w:shd w:val="clear" w:color="auto" w:fill="FFFFFF"/>
        </w:rPr>
        <w:t xml:space="preserve">eny towarów i usług konsumpcyjnych </w:t>
      </w:r>
      <w:r w:rsidR="003A440F" w:rsidRPr="00AE751C">
        <w:rPr>
          <w:shd w:val="clear" w:color="auto" w:fill="FFFFFF"/>
        </w:rPr>
        <w:t>(zmiana w % do okresu poprzedniego)</w:t>
      </w:r>
      <w:r w:rsidR="003A440F" w:rsidRPr="00AE751C">
        <w:rPr>
          <w:b w:val="0"/>
          <w:noProof/>
          <w:shd w:val="clear" w:color="auto" w:fill="FFFFFF"/>
          <w:lang w:eastAsia="pl-PL"/>
        </w:rPr>
        <w:t xml:space="preserve"> </w:t>
      </w:r>
    </w:p>
    <w:p w:rsidR="00DA0243" w:rsidRPr="00AE751C" w:rsidRDefault="00DA0243" w:rsidP="0026302B">
      <w:pPr>
        <w:pStyle w:val="LID"/>
        <w:rPr>
          <w:b w:val="0"/>
          <w:spacing w:val="-2"/>
          <w:sz w:val="18"/>
        </w:rPr>
      </w:pPr>
    </w:p>
    <w:p w:rsidR="00034160" w:rsidRPr="00AE751C" w:rsidRDefault="009E3F12" w:rsidP="0080551D">
      <w:pPr>
        <w:pStyle w:val="tytuwykresu"/>
        <w:ind w:left="794" w:hanging="794"/>
        <w:rPr>
          <w:shd w:val="clear" w:color="auto" w:fill="FFFFFF"/>
        </w:rPr>
      </w:pPr>
      <w:r w:rsidRPr="00AE751C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50400" behindDoc="1" locked="0" layoutInCell="1" allowOverlap="1" wp14:anchorId="62F2B8F8" wp14:editId="14AEEAFF">
                <wp:simplePos x="0" y="0"/>
                <wp:positionH relativeFrom="column">
                  <wp:posOffset>5267325</wp:posOffset>
                </wp:positionH>
                <wp:positionV relativeFrom="page">
                  <wp:posOffset>4067175</wp:posOffset>
                </wp:positionV>
                <wp:extent cx="1725295" cy="1209675"/>
                <wp:effectExtent l="0" t="0" r="0" b="9525"/>
                <wp:wrapTight wrapText="bothSides">
                  <wp:wrapPolygon edited="0">
                    <wp:start x="477" y="0"/>
                    <wp:lineTo x="477" y="21430"/>
                    <wp:lineTo x="20749" y="21430"/>
                    <wp:lineTo x="20749" y="0"/>
                    <wp:lineTo x="477" y="0"/>
                  </wp:wrapPolygon>
                </wp:wrapTight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6DF" w:rsidRPr="00BF2F65" w:rsidRDefault="00E616DF" w:rsidP="007364D7">
                            <w:pPr>
                              <w:pStyle w:val="Tekstprzypisudolnego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kwietniu 2020 r. wskaźnik cen towarów i usług ko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n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sumpcyjnych znajdował się w </w:t>
                            </w:r>
                            <w:r w:rsidRPr="00891A4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granicach odchyleń od celu </w:t>
                            </w:r>
                            <w:r w:rsidRPr="007364D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inflacyjnego określonego przez Radę Polityki Pienię</w:t>
                            </w:r>
                            <w:r w:rsidRPr="007364D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ż</w:t>
                            </w:r>
                            <w:r w:rsidRPr="007364D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nej (2,5% +/- 1 p. proc.)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414.75pt;margin-top:320.25pt;width:135.85pt;height:95.25pt;z-index:-25156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V1uwIAAMM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" filled="f" stroked="f">
                <v:textbox>
                  <w:txbxContent>
                    <w:p w:rsidR="00E616DF" w:rsidRPr="00BF2F65" w:rsidRDefault="00E616DF" w:rsidP="007364D7">
                      <w:pPr>
                        <w:pStyle w:val="Tekstprzypisudolnego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 kwietniu 2020 r. wskaźnik cen towarów i usług ko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n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sumpcyjnych znajdował się w </w:t>
                      </w:r>
                      <w:r w:rsidRPr="00891A4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granicach odchyleń od celu </w:t>
                      </w:r>
                      <w:r w:rsidRPr="007364D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inflacyjnego określonego przez Radę Polityki Pienię</w:t>
                      </w:r>
                      <w:r w:rsidRPr="007364D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ż</w:t>
                      </w:r>
                      <w:r w:rsidRPr="007364D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nej (2,5% +/- 1 p. proc.)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034160" w:rsidRPr="00AE751C">
        <w:t xml:space="preserve">Wykres </w:t>
      </w:r>
      <w:r w:rsidR="00CF08EF" w:rsidRPr="00AE751C">
        <w:t>4</w:t>
      </w:r>
      <w:r w:rsidR="00034160" w:rsidRPr="00AE751C">
        <w:t>.</w:t>
      </w:r>
      <w:r w:rsidR="00034160" w:rsidRPr="00AE751C">
        <w:rPr>
          <w:shd w:val="clear" w:color="auto" w:fill="FFFFFF"/>
        </w:rPr>
        <w:t xml:space="preserve"> C</w:t>
      </w:r>
      <w:r w:rsidR="00034160" w:rsidRPr="00AE751C">
        <w:rPr>
          <w:bCs/>
          <w:shd w:val="clear" w:color="auto" w:fill="FFFFFF"/>
        </w:rPr>
        <w:t xml:space="preserve">eny towarów i usług konsumpcyjnych </w:t>
      </w:r>
      <w:r w:rsidR="00132297" w:rsidRPr="00AE751C">
        <w:rPr>
          <w:bCs/>
          <w:shd w:val="clear" w:color="auto" w:fill="FFFFFF"/>
        </w:rPr>
        <w:br/>
      </w:r>
      <w:r w:rsidR="00034160" w:rsidRPr="00AE751C">
        <w:rPr>
          <w:shd w:val="clear" w:color="auto" w:fill="FFFFFF"/>
        </w:rPr>
        <w:t>(zmiana w % do analogicznego okresu roku poprzedniego)</w:t>
      </w:r>
    </w:p>
    <w:p w:rsidR="00034160" w:rsidRPr="00AE751C" w:rsidRDefault="0084421C" w:rsidP="00034160">
      <w:pPr>
        <w:spacing w:before="0" w:after="160" w:line="259" w:lineRule="auto"/>
        <w:rPr>
          <w:sz w:val="18"/>
          <w:highlight w:val="yellow"/>
        </w:rPr>
      </w:pPr>
      <w:r w:rsidRPr="00AE751C">
        <w:rPr>
          <w:noProof/>
          <w:lang w:val="en-GB" w:eastAsia="en-GB"/>
        </w:rPr>
        <w:drawing>
          <wp:inline distT="0" distB="0" distL="0" distR="0" wp14:anchorId="1579F781" wp14:editId="0318D28E">
            <wp:extent cx="5122545" cy="2563495"/>
            <wp:effectExtent l="0" t="0" r="0" b="27305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55B73" w:rsidRPr="00AE751C" w:rsidRDefault="00A55B73" w:rsidP="00DE775D">
      <w:pPr>
        <w:pStyle w:val="tytuwykresu"/>
        <w:ind w:left="794" w:hanging="794"/>
      </w:pPr>
    </w:p>
    <w:p w:rsidR="001E7DBB" w:rsidRPr="00AE751C" w:rsidRDefault="00883763" w:rsidP="00DE775D">
      <w:pPr>
        <w:pStyle w:val="tytuwykresu"/>
        <w:ind w:left="794" w:hanging="794"/>
        <w:rPr>
          <w:bCs/>
          <w:shd w:val="clear" w:color="auto" w:fill="FFFFFF"/>
        </w:rPr>
      </w:pPr>
      <w:r w:rsidRPr="00AE751C">
        <w:t xml:space="preserve">Wykres </w:t>
      </w:r>
      <w:r w:rsidR="00CF08EF" w:rsidRPr="00AE751C">
        <w:t>5</w:t>
      </w:r>
      <w:r w:rsidRPr="00AE751C">
        <w:t>.</w:t>
      </w:r>
      <w:r w:rsidRPr="00AE751C">
        <w:rPr>
          <w:shd w:val="clear" w:color="auto" w:fill="FFFFFF"/>
        </w:rPr>
        <w:t xml:space="preserve"> </w:t>
      </w:r>
      <w:r w:rsidR="00761070" w:rsidRPr="00AE751C">
        <w:rPr>
          <w:bCs/>
          <w:shd w:val="clear" w:color="auto" w:fill="FFFFFF"/>
        </w:rPr>
        <w:t xml:space="preserve">Wskaźnik cen towarów i usług konsumpcyjnych (CPI) oraz </w:t>
      </w:r>
      <w:r w:rsidR="001E7DBB" w:rsidRPr="00AE751C">
        <w:rPr>
          <w:bCs/>
          <w:shd w:val="clear" w:color="auto" w:fill="FFFFFF"/>
        </w:rPr>
        <w:t>z</w:t>
      </w:r>
      <w:r w:rsidR="00761070" w:rsidRPr="00AE751C">
        <w:rPr>
          <w:bCs/>
          <w:shd w:val="clear" w:color="auto" w:fill="FFFFFF"/>
        </w:rPr>
        <w:t xml:space="preserve">harmonizowany </w:t>
      </w:r>
      <w:r w:rsidR="001E7DBB" w:rsidRPr="00AE751C">
        <w:rPr>
          <w:bCs/>
          <w:shd w:val="clear" w:color="auto" w:fill="FFFFFF"/>
        </w:rPr>
        <w:t xml:space="preserve">wskaźnik </w:t>
      </w:r>
      <w:r w:rsidR="00511F19" w:rsidRPr="00AE751C">
        <w:rPr>
          <w:bCs/>
          <w:shd w:val="clear" w:color="auto" w:fill="FFFFFF"/>
        </w:rPr>
        <w:br/>
      </w:r>
      <w:r w:rsidR="001E7DBB" w:rsidRPr="00AE751C">
        <w:rPr>
          <w:bCs/>
          <w:shd w:val="clear" w:color="auto" w:fill="FFFFFF"/>
        </w:rPr>
        <w:t xml:space="preserve">cen konsumpcyjnych (HICP) </w:t>
      </w:r>
      <w:r w:rsidR="001E7DBB" w:rsidRPr="00AE751C">
        <w:rPr>
          <w:shd w:val="clear" w:color="auto" w:fill="FFFFFF"/>
        </w:rPr>
        <w:t>(zmiana w % do analogicznego okresu roku poprzedniego)</w:t>
      </w:r>
    </w:p>
    <w:p w:rsidR="00820461" w:rsidRPr="00AE751C" w:rsidRDefault="00CF4C96">
      <w:pPr>
        <w:spacing w:before="0" w:after="160" w:line="259" w:lineRule="auto"/>
        <w:rPr>
          <w:b/>
          <w:noProof/>
          <w:sz w:val="18"/>
          <w:szCs w:val="19"/>
          <w:highlight w:val="yellow"/>
          <w:lang w:eastAsia="pl-PL"/>
        </w:rPr>
      </w:pPr>
      <w:r w:rsidRPr="00AE751C">
        <w:rPr>
          <w:noProof/>
          <w:lang w:val="en-GB" w:eastAsia="en-GB"/>
        </w:rPr>
        <w:drawing>
          <wp:inline distT="0" distB="0" distL="0" distR="0" wp14:anchorId="6A523806" wp14:editId="6F3C1EFD">
            <wp:extent cx="5122545" cy="2511425"/>
            <wp:effectExtent l="0" t="0" r="0" b="3175"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820461" w:rsidRPr="00AE751C">
        <w:rPr>
          <w:sz w:val="18"/>
          <w:highlight w:val="yellow"/>
        </w:rPr>
        <w:br w:type="page"/>
      </w:r>
    </w:p>
    <w:p w:rsidR="00934246" w:rsidRPr="00AE751C" w:rsidRDefault="00934246" w:rsidP="001B3CA7">
      <w:pPr>
        <w:spacing w:before="0" w:after="160"/>
        <w:rPr>
          <w:color w:val="000000" w:themeColor="text1"/>
        </w:rPr>
      </w:pPr>
      <w:r w:rsidRPr="00AE751C">
        <w:rPr>
          <w:color w:val="000000" w:themeColor="text1"/>
        </w:rPr>
        <w:lastRenderedPageBreak/>
        <w:t xml:space="preserve">W kwietniu 2020 r. obostrzenia związane z przeciwdziałaniem rozprzestrzenianiu się </w:t>
      </w:r>
      <w:proofErr w:type="spellStart"/>
      <w:r w:rsidRPr="00AE751C">
        <w:rPr>
          <w:color w:val="000000" w:themeColor="text1"/>
        </w:rPr>
        <w:t>koron</w:t>
      </w:r>
      <w:r w:rsidR="00E616DF">
        <w:rPr>
          <w:color w:val="000000" w:themeColor="text1"/>
        </w:rPr>
        <w:t>a</w:t>
      </w:r>
      <w:r w:rsidRPr="00AE751C">
        <w:rPr>
          <w:color w:val="000000" w:themeColor="text1"/>
        </w:rPr>
        <w:t>wirusa</w:t>
      </w:r>
      <w:proofErr w:type="spellEnd"/>
      <w:r w:rsidRPr="00AE751C">
        <w:rPr>
          <w:color w:val="000000" w:themeColor="text1"/>
        </w:rPr>
        <w:t xml:space="preserve"> w znacznie większym stopniu niż w poprzednim miesiącu wpłynęły na opracowanie wskaźnika cen konsumpcyjnych.</w:t>
      </w:r>
    </w:p>
    <w:p w:rsidR="00934246" w:rsidRPr="00AE751C" w:rsidRDefault="00934246" w:rsidP="001B3CA7">
      <w:pPr>
        <w:spacing w:before="0" w:after="160"/>
        <w:rPr>
          <w:color w:val="000000" w:themeColor="text1"/>
        </w:rPr>
      </w:pPr>
      <w:r w:rsidRPr="00AE751C">
        <w:rPr>
          <w:color w:val="000000" w:themeColor="text1"/>
        </w:rPr>
        <w:t>Dla funkcjonujących sektorów rynku detalicznego dane były gromadzone</w:t>
      </w:r>
      <w:r w:rsidR="009C375D">
        <w:rPr>
          <w:color w:val="000000" w:themeColor="text1"/>
        </w:rPr>
        <w:t xml:space="preserve"> drogą zdalną, za </w:t>
      </w:r>
      <w:r w:rsidRPr="00AE751C">
        <w:rPr>
          <w:color w:val="000000" w:themeColor="text1"/>
        </w:rPr>
        <w:t xml:space="preserve">pośrednictwem telefonu, </w:t>
      </w:r>
      <w:r w:rsidR="00A34A25" w:rsidRPr="00A34A25">
        <w:rPr>
          <w:color w:val="000000" w:themeColor="text1"/>
        </w:rPr>
        <w:t>e-</w:t>
      </w:r>
      <w:r w:rsidRPr="00A34A25">
        <w:rPr>
          <w:color w:val="000000" w:themeColor="text1"/>
        </w:rPr>
        <w:t>maili</w:t>
      </w:r>
      <w:r w:rsidRPr="00AE751C">
        <w:rPr>
          <w:color w:val="000000" w:themeColor="text1"/>
        </w:rPr>
        <w:t xml:space="preserve"> i portali internetowych. W przypadkach, w których nie było możliwości uzupełnienia cen z wykorzystaniem tych alternatywnych metod, ale produkty były przedmiotem transakcji, brakujące dane zostały oszacowane. Do szacunków wykorzyst</w:t>
      </w:r>
      <w:r w:rsidRPr="00AE751C">
        <w:rPr>
          <w:color w:val="000000" w:themeColor="text1"/>
        </w:rPr>
        <w:t>a</w:t>
      </w:r>
      <w:r w:rsidRPr="00AE751C">
        <w:rPr>
          <w:color w:val="000000" w:themeColor="text1"/>
        </w:rPr>
        <w:t>no przede wszystkim zmiany cen podobnych produktów zanotowanych w innych punktach sprzedaży lub innych obszarach kraju. Zastosowana metoda jest analogiczna do zwykłych statystycznych procedur szacowania dla produktów czasowo niedostępnych. Taka metoda szacunków została zastosowana m. in dla produktów żyw</w:t>
      </w:r>
      <w:r w:rsidR="009C375D">
        <w:rPr>
          <w:color w:val="000000" w:themeColor="text1"/>
        </w:rPr>
        <w:t>nościowych, odzieży i obuwia, w </w:t>
      </w:r>
      <w:r w:rsidRPr="00AE751C">
        <w:rPr>
          <w:color w:val="000000" w:themeColor="text1"/>
        </w:rPr>
        <w:t>zakresie zdrowia, mieszkania i gastronomii. Dodatkowo, w zakresie niektórych grup tow</w:t>
      </w:r>
      <w:r w:rsidRPr="00AE751C">
        <w:rPr>
          <w:color w:val="000000" w:themeColor="text1"/>
        </w:rPr>
        <w:t>a</w:t>
      </w:r>
      <w:r w:rsidRPr="00AE751C">
        <w:rPr>
          <w:color w:val="000000" w:themeColor="text1"/>
        </w:rPr>
        <w:t>rów żywnościowych, oszacowania wskaźników częściowych zostały uzupełnione o dane poz</w:t>
      </w:r>
      <w:r w:rsidRPr="00AE751C">
        <w:rPr>
          <w:color w:val="000000" w:themeColor="text1"/>
        </w:rPr>
        <w:t>y</w:t>
      </w:r>
      <w:r w:rsidRPr="00AE751C">
        <w:rPr>
          <w:color w:val="000000" w:themeColor="text1"/>
        </w:rPr>
        <w:t>skane bezpośrednio z sieci handlowych.</w:t>
      </w:r>
    </w:p>
    <w:p w:rsidR="00934246" w:rsidRPr="00AE751C" w:rsidRDefault="00934246" w:rsidP="002A7E9B">
      <w:pPr>
        <w:spacing w:before="0" w:after="60"/>
        <w:rPr>
          <w:color w:val="000000" w:themeColor="text1"/>
        </w:rPr>
      </w:pPr>
      <w:r w:rsidRPr="00AE751C">
        <w:rPr>
          <w:color w:val="000000" w:themeColor="text1"/>
        </w:rPr>
        <w:t>Dla segmentów rynku detalicznego, które nie funkcjonowały z powodu obowiązujących ogr</w:t>
      </w:r>
      <w:r w:rsidRPr="00AE751C">
        <w:rPr>
          <w:color w:val="000000" w:themeColor="text1"/>
        </w:rPr>
        <w:t>a</w:t>
      </w:r>
      <w:r w:rsidRPr="00AE751C">
        <w:rPr>
          <w:color w:val="000000" w:themeColor="text1"/>
        </w:rPr>
        <w:t>niczeń, zastosowano trzy metody szacowania braków danych (oraz w kilku przypadkach ich połączenie):</w:t>
      </w:r>
      <w:bookmarkStart w:id="0" w:name="_GoBack"/>
      <w:bookmarkEnd w:id="0"/>
    </w:p>
    <w:p w:rsidR="00934246" w:rsidRPr="00AE751C" w:rsidRDefault="00934246" w:rsidP="001B3CA7">
      <w:pPr>
        <w:pStyle w:val="Akapitzlist"/>
        <w:numPr>
          <w:ilvl w:val="0"/>
          <w:numId w:val="3"/>
        </w:numPr>
        <w:spacing w:before="0" w:after="160"/>
        <w:ind w:left="714" w:hanging="357"/>
        <w:rPr>
          <w:color w:val="000000" w:themeColor="text1"/>
        </w:rPr>
      </w:pPr>
      <w:r w:rsidRPr="00AE751C">
        <w:rPr>
          <w:color w:val="000000" w:themeColor="text1"/>
        </w:rPr>
        <w:t xml:space="preserve">wykorzystanie ostatniej zanotowanej ceny (np. usługi w zakresie rekreacji i sportu, kultury, edukacji, usługi fryzjerskie i kosmetyczne), </w:t>
      </w:r>
    </w:p>
    <w:p w:rsidR="00934246" w:rsidRPr="00AE751C" w:rsidRDefault="00934246" w:rsidP="001B3CA7">
      <w:pPr>
        <w:pStyle w:val="Akapitzlist"/>
        <w:numPr>
          <w:ilvl w:val="0"/>
          <w:numId w:val="3"/>
        </w:numPr>
        <w:spacing w:before="0" w:after="160"/>
        <w:rPr>
          <w:color w:val="000000" w:themeColor="text1"/>
          <w:spacing w:val="-2"/>
        </w:rPr>
      </w:pPr>
      <w:r w:rsidRPr="00AE751C">
        <w:rPr>
          <w:color w:val="000000" w:themeColor="text1"/>
          <w:spacing w:val="-2"/>
        </w:rPr>
        <w:t xml:space="preserve">przypisanie zmian cen najbliższego wyższego szczebla agregacji (usługi transportowe), </w:t>
      </w:r>
    </w:p>
    <w:p w:rsidR="00934246" w:rsidRPr="00AE751C" w:rsidRDefault="00934246" w:rsidP="001B3CA7">
      <w:pPr>
        <w:pStyle w:val="Akapitzlist"/>
        <w:numPr>
          <w:ilvl w:val="0"/>
          <w:numId w:val="3"/>
        </w:numPr>
        <w:spacing w:before="0" w:after="160"/>
        <w:ind w:left="714" w:hanging="357"/>
        <w:rPr>
          <w:color w:val="000000" w:themeColor="text1"/>
        </w:rPr>
      </w:pPr>
      <w:r w:rsidRPr="00AE751C">
        <w:rPr>
          <w:color w:val="000000" w:themeColor="text1"/>
        </w:rPr>
        <w:t xml:space="preserve">wykorzystanie ostatnich zanotowanych cen z zachowaniem wzorca sezonowego </w:t>
      </w:r>
      <w:r w:rsidR="0020009D">
        <w:rPr>
          <w:color w:val="000000" w:themeColor="text1"/>
        </w:rPr>
        <w:br/>
      </w:r>
      <w:r w:rsidRPr="00AE751C">
        <w:rPr>
          <w:color w:val="000000" w:themeColor="text1"/>
        </w:rPr>
        <w:t xml:space="preserve">(poprzez zastosowanie miesięcznej zmiany cen zaobserwowanej rok wcześniej </w:t>
      </w:r>
      <w:r w:rsidR="007324DB">
        <w:rPr>
          <w:color w:val="000000" w:themeColor="text1"/>
        </w:rPr>
        <w:t>–</w:t>
      </w:r>
      <w:r w:rsidRPr="00AE751C">
        <w:rPr>
          <w:color w:val="000000" w:themeColor="text1"/>
        </w:rPr>
        <w:t xml:space="preserve"> loty, </w:t>
      </w:r>
      <w:r w:rsidR="009C375D">
        <w:rPr>
          <w:color w:val="000000" w:themeColor="text1"/>
        </w:rPr>
        <w:br/>
      </w:r>
      <w:r w:rsidRPr="00AE751C">
        <w:rPr>
          <w:color w:val="000000" w:themeColor="text1"/>
        </w:rPr>
        <w:t>turystyka zorganizowana, usługi zakwaterowania).</w:t>
      </w:r>
    </w:p>
    <w:p w:rsidR="00934246" w:rsidRPr="00AE751C" w:rsidRDefault="00934246" w:rsidP="001B3CA7">
      <w:pPr>
        <w:spacing w:before="0" w:after="160"/>
        <w:rPr>
          <w:color w:val="000000" w:themeColor="text1"/>
        </w:rPr>
      </w:pPr>
      <w:r w:rsidRPr="00AE751C">
        <w:rPr>
          <w:color w:val="000000" w:themeColor="text1"/>
        </w:rPr>
        <w:t>Metody te są zgodne z zaleceniami metodologicznymi opracowanymi przez Eurostat w por</w:t>
      </w:r>
      <w:r w:rsidRPr="00AE751C">
        <w:rPr>
          <w:color w:val="000000" w:themeColor="text1"/>
        </w:rPr>
        <w:t>o</w:t>
      </w:r>
      <w:r w:rsidRPr="00AE751C">
        <w:rPr>
          <w:color w:val="000000" w:themeColor="text1"/>
        </w:rPr>
        <w:t>zumieniu z krajowymi urzędami statystycznymi.</w:t>
      </w:r>
      <w:r w:rsidRPr="00AE751C">
        <w:rPr>
          <w:rStyle w:val="Odwoanieprzypisudolnego"/>
          <w:color w:val="000000" w:themeColor="text1"/>
        </w:rPr>
        <w:footnoteReference w:id="1"/>
      </w:r>
      <w:r w:rsidRPr="00AE751C">
        <w:rPr>
          <w:color w:val="000000" w:themeColor="text1"/>
        </w:rPr>
        <w:t xml:space="preserve"> Decyzje dotyczące oszacowań były pode</w:t>
      </w:r>
      <w:r w:rsidRPr="00AE751C">
        <w:rPr>
          <w:color w:val="000000" w:themeColor="text1"/>
        </w:rPr>
        <w:t>j</w:t>
      </w:r>
      <w:r w:rsidRPr="00AE751C">
        <w:rPr>
          <w:color w:val="000000" w:themeColor="text1"/>
        </w:rPr>
        <w:t>mowane indywidualnie dla każdego przypadku wymagającego dokonania imputacji.</w:t>
      </w:r>
    </w:p>
    <w:p w:rsidR="00934246" w:rsidRPr="00AE751C" w:rsidRDefault="00934246" w:rsidP="001B3CA7">
      <w:pPr>
        <w:spacing w:before="0" w:after="160"/>
        <w:rPr>
          <w:color w:val="000000" w:themeColor="text1"/>
        </w:rPr>
      </w:pPr>
      <w:r w:rsidRPr="00AE751C">
        <w:rPr>
          <w:color w:val="000000" w:themeColor="text1"/>
        </w:rPr>
        <w:t xml:space="preserve">Udział danych wymagających oszacowania w kwietniu br. był wyższy niż w marcu. Powyżej 50% szacunków odnotowano w grupie edukacja oraz restauracje i hotele. Blisko 50% udział brakujących danych </w:t>
      </w:r>
      <w:r w:rsidRPr="00A34A25">
        <w:rPr>
          <w:color w:val="000000" w:themeColor="text1"/>
        </w:rPr>
        <w:t>wyniósł</w:t>
      </w:r>
      <w:r w:rsidRPr="00AE751C">
        <w:rPr>
          <w:color w:val="000000" w:themeColor="text1"/>
        </w:rPr>
        <w:t xml:space="preserve"> w przypadku rekreacji i kultury. Ponad 25% imputacji danych dokonano w zakresie zdrowia, a także odzieży i obuwia. Najmniejszy udział braków danych wystąpił w ramach łączności oraz użytkowania mieszkania lub domu i nośników energii.</w:t>
      </w:r>
    </w:p>
    <w:p w:rsidR="00934246" w:rsidRDefault="00934246" w:rsidP="001B3CA7">
      <w:pPr>
        <w:spacing w:before="0" w:after="160" w:line="259" w:lineRule="auto"/>
        <w:rPr>
          <w:b/>
          <w:noProof/>
          <w:sz w:val="18"/>
          <w:szCs w:val="19"/>
          <w:highlight w:val="yellow"/>
          <w:lang w:eastAsia="pl-PL"/>
        </w:rPr>
      </w:pPr>
      <w:r w:rsidRPr="00AE751C">
        <w:rPr>
          <w:color w:val="000000" w:themeColor="text1"/>
        </w:rPr>
        <w:t>W Tablicy 2 zostały wskazane grupy wydatków konsumpcyjnych, dla których w kwietniu 2020</w:t>
      </w:r>
      <w:r w:rsidR="007324DB">
        <w:rPr>
          <w:color w:val="000000" w:themeColor="text1"/>
        </w:rPr>
        <w:t> </w:t>
      </w:r>
      <w:r w:rsidRPr="00AE751C">
        <w:rPr>
          <w:color w:val="000000" w:themeColor="text1"/>
        </w:rPr>
        <w:t>r. udział brakujących obserwacji przekroczył 50%. Oznaczone wskaźniki częściowe zost</w:t>
      </w:r>
      <w:r w:rsidRPr="00AE751C">
        <w:rPr>
          <w:color w:val="000000" w:themeColor="text1"/>
        </w:rPr>
        <w:t>a</w:t>
      </w:r>
      <w:r w:rsidRPr="00AE751C">
        <w:rPr>
          <w:color w:val="000000" w:themeColor="text1"/>
        </w:rPr>
        <w:t>ły wykorzystane w obliczeniach agregatów wyższego poziomu, w tym wskaźnika ogółem.</w:t>
      </w:r>
      <w:r>
        <w:rPr>
          <w:sz w:val="18"/>
          <w:highlight w:val="yellow"/>
        </w:rPr>
        <w:br w:type="page"/>
      </w:r>
    </w:p>
    <w:p w:rsidR="00516A50" w:rsidRPr="00AE751C" w:rsidRDefault="00516A50" w:rsidP="00516A50">
      <w:pPr>
        <w:pStyle w:val="LID"/>
        <w:rPr>
          <w:bCs/>
          <w:sz w:val="18"/>
          <w:shd w:val="clear" w:color="auto" w:fill="FFFFFF"/>
        </w:rPr>
      </w:pPr>
      <w:r w:rsidRPr="00CA5FC4">
        <w:rPr>
          <w:sz w:val="18"/>
        </w:rPr>
        <w:lastRenderedPageBreak/>
        <w:t xml:space="preserve">Tablica </w:t>
      </w:r>
      <w:r w:rsidR="00CF08EF" w:rsidRPr="00CA5FC4">
        <w:rPr>
          <w:sz w:val="18"/>
        </w:rPr>
        <w:t>2</w:t>
      </w:r>
      <w:r w:rsidRPr="00CA5FC4">
        <w:rPr>
          <w:sz w:val="18"/>
        </w:rPr>
        <w:t>.</w:t>
      </w:r>
      <w:r w:rsidRPr="00CA5FC4">
        <w:rPr>
          <w:sz w:val="18"/>
          <w:shd w:val="clear" w:color="auto" w:fill="FFFFFF"/>
        </w:rPr>
        <w:t xml:space="preserve"> </w:t>
      </w:r>
      <w:r w:rsidRPr="00CA5FC4">
        <w:rPr>
          <w:bCs/>
          <w:sz w:val="18"/>
          <w:shd w:val="clear" w:color="auto" w:fill="FFFFFF"/>
        </w:rPr>
        <w:t>Wskaźniki</w:t>
      </w:r>
      <w:r w:rsidRPr="00AE751C">
        <w:rPr>
          <w:bCs/>
          <w:sz w:val="18"/>
          <w:shd w:val="clear" w:color="auto" w:fill="FFFFFF"/>
        </w:rPr>
        <w:t xml:space="preserve"> cen towarów i usług konsumpcyjnych w </w:t>
      </w:r>
      <w:r w:rsidR="00B86E2F" w:rsidRPr="00AE751C">
        <w:rPr>
          <w:bCs/>
          <w:sz w:val="18"/>
          <w:shd w:val="clear" w:color="auto" w:fill="FFFFFF"/>
        </w:rPr>
        <w:t xml:space="preserve">kwietniu </w:t>
      </w:r>
      <w:r w:rsidR="007364D7" w:rsidRPr="00AE751C">
        <w:rPr>
          <w:sz w:val="18"/>
        </w:rPr>
        <w:t>2020</w:t>
      </w:r>
      <w:r w:rsidRPr="00AE751C">
        <w:rPr>
          <w:sz w:val="18"/>
        </w:rPr>
        <w:t> </w:t>
      </w:r>
      <w:r w:rsidRPr="00AE751C">
        <w:rPr>
          <w:bCs/>
          <w:sz w:val="18"/>
          <w:shd w:val="clear" w:color="auto" w:fill="FFFFFF"/>
        </w:rPr>
        <w:t>r.</w:t>
      </w:r>
    </w:p>
    <w:p w:rsidR="00DE775D" w:rsidRPr="00AE751C" w:rsidRDefault="00DE775D" w:rsidP="00516A50">
      <w:pPr>
        <w:pStyle w:val="LID"/>
        <w:rPr>
          <w:bCs/>
          <w:sz w:val="18"/>
          <w:shd w:val="clear" w:color="auto" w:fill="FFFFFF"/>
        </w:rPr>
      </w:pPr>
    </w:p>
    <w:tbl>
      <w:tblPr>
        <w:tblW w:w="806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9"/>
        <w:gridCol w:w="1086"/>
        <w:gridCol w:w="1086"/>
        <w:gridCol w:w="1093"/>
        <w:gridCol w:w="1089"/>
        <w:gridCol w:w="75"/>
      </w:tblGrid>
      <w:tr w:rsidR="00B86E2F" w:rsidRPr="00AE751C" w:rsidTr="009E1FE1">
        <w:trPr>
          <w:gridAfter w:val="1"/>
          <w:wAfter w:w="75" w:type="dxa"/>
          <w:trHeight w:val="315"/>
          <w:tblHeader/>
        </w:trPr>
        <w:tc>
          <w:tcPr>
            <w:tcW w:w="3639" w:type="dxa"/>
            <w:vMerge w:val="restart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86E2F" w:rsidRPr="00AE751C" w:rsidRDefault="00B86E2F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B86E2F" w:rsidRPr="00AE751C" w:rsidRDefault="00B86E2F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Calibri"/>
                <w:sz w:val="16"/>
                <w:szCs w:val="16"/>
                <w:lang w:eastAsia="pl-PL"/>
              </w:rPr>
              <w:t>IV 2020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AE751C" w:rsidRDefault="00B86E2F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Calibri"/>
                <w:sz w:val="16"/>
                <w:szCs w:val="16"/>
                <w:lang w:eastAsia="pl-PL"/>
              </w:rPr>
              <w:t>I-IV 2020</w:t>
            </w:r>
          </w:p>
        </w:tc>
      </w:tr>
      <w:tr w:rsidR="00B86E2F" w:rsidRPr="00AE751C" w:rsidTr="009E1FE1">
        <w:trPr>
          <w:trHeight w:val="465"/>
          <w:tblHeader/>
        </w:trPr>
        <w:tc>
          <w:tcPr>
            <w:tcW w:w="3639" w:type="dxa"/>
            <w:vMerge/>
            <w:tcBorders>
              <w:top w:val="nil"/>
              <w:left w:val="nil"/>
              <w:bottom w:val="single" w:sz="12" w:space="0" w:color="212492"/>
              <w:right w:val="single" w:sz="8" w:space="0" w:color="212492"/>
            </w:tcBorders>
            <w:vAlign w:val="center"/>
            <w:hideMark/>
          </w:tcPr>
          <w:p w:rsidR="00B86E2F" w:rsidRPr="00AE751C" w:rsidRDefault="00B86E2F" w:rsidP="00B86E2F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AE751C" w:rsidRDefault="00B86E2F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Calibri"/>
                <w:sz w:val="16"/>
                <w:szCs w:val="16"/>
                <w:lang w:eastAsia="pl-PL"/>
              </w:rPr>
              <w:t>IV 2019=</w:t>
            </w:r>
            <w:r w:rsidRPr="00AE751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086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AE751C" w:rsidRDefault="00B86E2F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Calibri"/>
                <w:sz w:val="16"/>
                <w:szCs w:val="16"/>
                <w:lang w:eastAsia="pl-PL"/>
              </w:rPr>
              <w:t>XII 2019=</w:t>
            </w:r>
            <w:r w:rsidRPr="00AE751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093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AE751C" w:rsidRDefault="00B86E2F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Calibri"/>
                <w:sz w:val="16"/>
                <w:szCs w:val="16"/>
                <w:lang w:eastAsia="pl-PL"/>
              </w:rPr>
              <w:t>III 2020=</w:t>
            </w:r>
            <w:r w:rsidRPr="00AE751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B86E2F" w:rsidRPr="00AE751C" w:rsidRDefault="00B86E2F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Calibri"/>
                <w:sz w:val="16"/>
                <w:szCs w:val="16"/>
                <w:lang w:eastAsia="pl-PL"/>
              </w:rPr>
              <w:t xml:space="preserve">I-IV 2019= </w:t>
            </w:r>
            <w:r w:rsidRPr="00AE751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</w:tr>
      <w:tr w:rsidR="00AE6B84" w:rsidRPr="00AE751C" w:rsidTr="00701C5E">
        <w:trPr>
          <w:trHeight w:val="456"/>
        </w:trPr>
        <w:tc>
          <w:tcPr>
            <w:tcW w:w="3639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701C5E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086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701C5E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1086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701C5E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93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701C5E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64" w:type="dxa"/>
            <w:gridSpan w:val="2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701C5E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104,2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Towary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08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093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106,5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</w:tr>
      <w:tr w:rsidR="00AE6B84" w:rsidRPr="00AE751C" w:rsidTr="00701C5E">
        <w:trPr>
          <w:trHeight w:val="453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 xml:space="preserve">Żywność, napoje bezalkoholowe </w:t>
            </w:r>
            <w:r w:rsidRPr="00AE751C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  <w:t>i alkoholowe oraz wyroby tytoniowe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106,9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106,9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 I NAPOJE BEZALKOHOLOWE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107,4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107,6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107,8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108,2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Mąka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Pieczywo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107,8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Makarony i produkty makaronowe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111,0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113,6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wołowe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cielęce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wieprzowe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123,4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drobiowe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94,2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106,4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Wędliny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113,9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Ryby i owoce morza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Mleko, sery i jaja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E6B84" w:rsidRPr="00AE751C" w:rsidTr="00AE6B84">
        <w:trPr>
          <w:trHeight w:val="31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</w:tr>
      <w:tr w:rsidR="00AE6B84" w:rsidRPr="00AE751C" w:rsidTr="00AE6B84">
        <w:trPr>
          <w:trHeight w:val="476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left="34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Jogurt, śmietana, napoje 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desery mleczne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Sery i twarogi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Oleje i tłuszcze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roślinne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zwierzęce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96,6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masło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94,6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Owoce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117,3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119,0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Warzywa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109,0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Cukier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109,5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bezalkoholowe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Herbata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Kakao i czekolada w proszku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Wody mineralne lub źródlane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Soki owocowe i warzywne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4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NAPOJE ALKOHOLOWE I WYROBY TYTONIOWE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alkoholowe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tytoniowe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 I OBUWIE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98,0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97,3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Obuwie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MIESZKANIE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</w:tr>
      <w:tr w:rsidR="00AE6B84" w:rsidRPr="00AE751C" w:rsidTr="00AE6B84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UŻYTKOWANIE MIESZKANIA LUB DOMU </w:t>
            </w:r>
          </w:p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NOŚNIKI ENERGII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107,1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Opłaty na rzecz właścicieli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Zaopatrywanie w wodę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Wywóz śmieci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135,3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151,3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kanalizacyjne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Nośniki energii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111,8</w:t>
            </w:r>
          </w:p>
        </w:tc>
      </w:tr>
      <w:tr w:rsidR="00AE6B84" w:rsidRPr="00AE751C" w:rsidTr="00701C5E">
        <w:trPr>
          <w:trHeight w:val="20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701C5E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</w:tr>
      <w:tr w:rsidR="00AE6B84" w:rsidRPr="00AE751C" w:rsidTr="00701C5E">
        <w:trPr>
          <w:trHeight w:val="26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Opał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</w:tr>
      <w:tr w:rsidR="00AE6B84" w:rsidRPr="00AE751C" w:rsidTr="00701C5E">
        <w:trPr>
          <w:trHeight w:val="259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</w:tr>
      <w:tr w:rsidR="00AE6B84" w:rsidRPr="00AE751C" w:rsidTr="00AE6B84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WYPOSAŻENIE MIESZKANIA I PROWADZENIE GOSPODARSTWA DOMOWEGO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</w:tr>
      <w:tr w:rsidR="00AE6B84" w:rsidRPr="00AE751C" w:rsidTr="00701C5E">
        <w:trPr>
          <w:trHeight w:val="284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E6B84" w:rsidRPr="00AE751C" w:rsidTr="00AE6B84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Meble, artykuły dekoracyjne, 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sprzęt oświetleniowy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gospodarstwa domowego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czyszczące i konserwujące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</w:tr>
      <w:tr w:rsidR="00AE6B84" w:rsidRPr="00AE751C" w:rsidTr="00AE6B84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prowadzeniem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gospodarstwa domowego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106,7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ZDROWIE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</w:tr>
      <w:tr w:rsidR="00AE6B84" w:rsidRPr="00AE751C" w:rsidTr="00701C5E">
        <w:trPr>
          <w:trHeight w:val="274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farmaceutyczne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i sprzęt terapeutyczny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lekarskie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107,3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</w:t>
            </w:r>
            <w:proofErr w:type="spellStart"/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stomatologiczne</w:t>
            </w:r>
            <w:r w:rsidR="007F4D36" w:rsidRPr="00AE751C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pl-PL"/>
              </w:rPr>
              <w:t>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szpitalne i </w:t>
            </w:r>
            <w:proofErr w:type="spellStart"/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sanatoryjne</w:t>
            </w:r>
            <w:r w:rsidR="007F4D36" w:rsidRPr="00AE751C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pl-PL"/>
              </w:rPr>
              <w:t>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TRANSPORT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90,1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98,0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97,6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samochody osobowe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97,4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Paliwa do prywatnych środków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81,2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82,9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87,1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95,9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 napędowy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87,2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95,3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Benzyna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83,4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86,9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96,1</w:t>
            </w:r>
          </w:p>
        </w:tc>
      </w:tr>
      <w:tr w:rsidR="00AE6B84" w:rsidRPr="00AE751C" w:rsidTr="00AE6B84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Gaz ciekły i pozostałe paliwa 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do prywatnych środków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87,3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96,6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transportowe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124,8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ŁĄCZNOŚĆ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Sprzęt telekomunikacyjny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90,2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telekomunikacyjne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REKREACJA I KULTURA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E6B84" w:rsidRPr="00AE751C" w:rsidTr="00AE6B84">
        <w:trPr>
          <w:trHeight w:val="532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Sprzęt audiowizualny, </w:t>
            </w:r>
            <w:r w:rsidRPr="00AE75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fotograficzny </w:t>
            </w:r>
            <w:r w:rsidRPr="00AE75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i informatyczny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95,7</w:t>
            </w:r>
          </w:p>
        </w:tc>
      </w:tr>
      <w:tr w:rsidR="00AE6B84" w:rsidRPr="00AE751C" w:rsidTr="00AE6B84">
        <w:trPr>
          <w:trHeight w:val="300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związane z rekreacją </w:t>
            </w:r>
            <w:r w:rsidRPr="00AE75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kulturą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E6B84" w:rsidRPr="00AE751C" w:rsidTr="00AE6B84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związane z rekreacją i </w:t>
            </w:r>
            <w:proofErr w:type="spellStart"/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sportem</w:t>
            </w:r>
            <w:r w:rsidR="007F4D36" w:rsidRPr="00AE751C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pl-PL"/>
              </w:rPr>
              <w:t>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kulturą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AE6B84" w:rsidRPr="00AE751C" w:rsidTr="00AE6B84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opłaty radiowo-telewizyjne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Książki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91,5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95,4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Gazety i czasopisma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Artykuły piśmienne, malarskie, kreślarskie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Turystyka </w:t>
            </w:r>
            <w:proofErr w:type="spellStart"/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zorganizowana</w:t>
            </w:r>
            <w:r w:rsidR="007F4D36" w:rsidRPr="00AE751C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pl-PL"/>
              </w:rPr>
              <w:t>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Turystyka zorganizowana w </w:t>
            </w:r>
            <w:proofErr w:type="spellStart"/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kraju</w:t>
            </w:r>
            <w:r w:rsidR="007F4D36" w:rsidRPr="00AE751C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pl-PL"/>
              </w:rPr>
              <w:t>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107,2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Turystyka zorganizowana za </w:t>
            </w:r>
            <w:proofErr w:type="spellStart"/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granicą</w:t>
            </w:r>
            <w:r w:rsidR="007F4D36" w:rsidRPr="00AE751C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pl-PL"/>
              </w:rPr>
              <w:t>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EDUKACJA</w:t>
            </w:r>
            <w:r w:rsidR="007F4D36" w:rsidRPr="00AE751C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pl-PL"/>
              </w:rPr>
              <w:t>U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RESTAURACJE I HOTELE</w:t>
            </w:r>
            <w:r w:rsidR="007F4D36" w:rsidRPr="00AE751C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pl-PL"/>
              </w:rPr>
              <w:t>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INNE TOWARY I USŁUGI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Higiena osobista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E6B84" w:rsidRPr="00AE751C" w:rsidTr="00AE6B84">
        <w:trPr>
          <w:trHeight w:val="434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left="17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fryzjerskie, kosmetyczne 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</w:t>
            </w:r>
            <w:proofErr w:type="spellStart"/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pielęgnacyjne</w:t>
            </w:r>
            <w:r w:rsidR="007F4D36" w:rsidRPr="00AE751C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pl-PL"/>
              </w:rPr>
              <w:t>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107,4</w:t>
            </w:r>
          </w:p>
        </w:tc>
      </w:tr>
      <w:tr w:rsidR="00AE6B84" w:rsidRPr="00AE751C" w:rsidTr="00AE6B84">
        <w:trPr>
          <w:trHeight w:val="39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Artykuły do higieny osobistej 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kosmetyki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Opieka </w:t>
            </w:r>
            <w:proofErr w:type="spellStart"/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społeczna</w:t>
            </w:r>
            <w:r w:rsidR="007F4D36" w:rsidRPr="00AE751C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pl-PL"/>
              </w:rPr>
              <w:t>U</w:t>
            </w:r>
            <w:proofErr w:type="spellEnd"/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108,0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108,0</w:t>
            </w:r>
          </w:p>
        </w:tc>
      </w:tr>
      <w:tr w:rsidR="00AE6B84" w:rsidRPr="00AE751C" w:rsidTr="00AE6B8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</w:tr>
      <w:tr w:rsidR="00AE6B84" w:rsidRPr="00AE751C" w:rsidTr="00AE6B84">
        <w:trPr>
          <w:trHeight w:val="450"/>
        </w:trPr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finansowe świadczone przez banki </w:t>
            </w:r>
          </w:p>
          <w:p w:rsidR="00AE6B84" w:rsidRPr="00AE751C" w:rsidRDefault="00AE6B84" w:rsidP="00AE6B8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inne instytucje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B84" w:rsidRPr="00AE751C" w:rsidRDefault="00AE6B84" w:rsidP="00AE6B8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</w:tr>
    </w:tbl>
    <w:p w:rsidR="009E3FA7" w:rsidRPr="00AE751C" w:rsidRDefault="009E3FA7" w:rsidP="00516A50">
      <w:pPr>
        <w:pStyle w:val="LID"/>
        <w:rPr>
          <w:bCs/>
          <w:sz w:val="18"/>
          <w:shd w:val="clear" w:color="auto" w:fill="FFFFFF"/>
        </w:rPr>
      </w:pPr>
    </w:p>
    <w:p w:rsidR="001A78D0" w:rsidRPr="00AE751C" w:rsidRDefault="001A78D0" w:rsidP="00516A50">
      <w:pPr>
        <w:pStyle w:val="LID"/>
        <w:rPr>
          <w:bCs/>
          <w:sz w:val="18"/>
          <w:highlight w:val="yellow"/>
          <w:shd w:val="clear" w:color="auto" w:fill="FFFFFF"/>
        </w:rPr>
      </w:pPr>
    </w:p>
    <w:p w:rsidR="00685123" w:rsidRPr="00AE751C" w:rsidRDefault="00A55B73" w:rsidP="00883763">
      <w:pPr>
        <w:spacing w:before="0" w:after="160" w:line="259" w:lineRule="auto"/>
        <w:rPr>
          <w:noProof/>
          <w:szCs w:val="19"/>
          <w:highlight w:val="yellow"/>
          <w:lang w:eastAsia="pl-PL"/>
        </w:rPr>
        <w:sectPr w:rsidR="00685123" w:rsidRPr="00AE751C" w:rsidSect="00EF7B36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CA5FC4">
        <w:rPr>
          <w:noProof/>
          <w:sz w:val="24"/>
          <w:szCs w:val="24"/>
          <w:vertAlign w:val="superscript"/>
          <w:lang w:eastAsia="pl-PL"/>
        </w:rPr>
        <w:t xml:space="preserve">u </w:t>
      </w:r>
      <w:r w:rsidR="008B0AF7" w:rsidRPr="00CA5FC4">
        <w:rPr>
          <w:noProof/>
          <w:sz w:val="24"/>
          <w:szCs w:val="24"/>
          <w:vertAlign w:val="superscript"/>
          <w:lang w:eastAsia="pl-PL"/>
        </w:rPr>
        <w:t xml:space="preserve"> </w:t>
      </w:r>
      <w:r w:rsidR="008B0AF7" w:rsidRPr="00CA5FC4">
        <w:rPr>
          <w:noProof/>
          <w:sz w:val="16"/>
          <w:szCs w:val="16"/>
          <w:lang w:eastAsia="pl-PL"/>
        </w:rPr>
        <w:t>Udział danych</w:t>
      </w:r>
      <w:r w:rsidR="008B0AF7" w:rsidRPr="00AE751C">
        <w:rPr>
          <w:noProof/>
          <w:sz w:val="16"/>
          <w:szCs w:val="16"/>
          <w:lang w:eastAsia="pl-PL"/>
        </w:rPr>
        <w:t xml:space="preserve"> szacowanych dla agregatu powyżej 50%</w:t>
      </w:r>
    </w:p>
    <w:p w:rsidR="000470AA" w:rsidRPr="00AE751C" w:rsidRDefault="000470AA" w:rsidP="000470AA">
      <w:pPr>
        <w:rPr>
          <w:sz w:val="18"/>
          <w:highlight w:val="yellow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6"/>
        <w:gridCol w:w="3927"/>
      </w:tblGrid>
      <w:tr w:rsidR="00883763" w:rsidRPr="00AE751C" w:rsidTr="00EE696D">
        <w:trPr>
          <w:trHeight w:val="1912"/>
        </w:trPr>
        <w:tc>
          <w:tcPr>
            <w:tcW w:w="4379" w:type="dxa"/>
          </w:tcPr>
          <w:p w:rsidR="00883763" w:rsidRPr="00AE751C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AE751C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AE751C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AE751C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BA0B97" w:rsidRPr="00AE751C" w:rsidRDefault="00BA0B97" w:rsidP="00BA0B97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AE751C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:rsidR="00883763" w:rsidRPr="00AE751C" w:rsidRDefault="00BA0B97" w:rsidP="00BA0B9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  <w:r w:rsidRPr="00AE751C">
              <w:rPr>
                <w:rFonts w:ascii="Fira Sans" w:hAnsi="Fira Sans" w:cs="Arial"/>
                <w:color w:val="000000" w:themeColor="text1"/>
                <w:sz w:val="20"/>
                <w:szCs w:val="28"/>
              </w:rPr>
              <w:t>Tel: 22 608 31 24</w:t>
            </w:r>
          </w:p>
        </w:tc>
        <w:tc>
          <w:tcPr>
            <w:tcW w:w="3942" w:type="dxa"/>
          </w:tcPr>
          <w:p w:rsidR="00883763" w:rsidRPr="00AE751C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AE751C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AE751C">
              <w:rPr>
                <w:rFonts w:cs="Arial"/>
                <w:color w:val="000000" w:themeColor="text1"/>
                <w:sz w:val="20"/>
              </w:rPr>
              <w:br/>
            </w:r>
            <w:r w:rsidRPr="00AE751C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BA0B97" w:rsidRPr="00AE751C" w:rsidRDefault="00BA0B97" w:rsidP="00BA0B97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AE751C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BA0B97" w:rsidRPr="00AE751C" w:rsidRDefault="00BA0B97" w:rsidP="00BA0B97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</w:rPr>
            </w:pPr>
            <w:r w:rsidRPr="00AE751C">
              <w:rPr>
                <w:rFonts w:ascii="Fira Sans" w:hAnsi="Fira Sans" w:cs="Arial"/>
                <w:color w:val="000000" w:themeColor="text1"/>
                <w:sz w:val="20"/>
              </w:rPr>
              <w:t>Tel: 695 255 011</w:t>
            </w:r>
          </w:p>
          <w:p w:rsidR="00883763" w:rsidRPr="00AE751C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</w:rPr>
            </w:pPr>
          </w:p>
        </w:tc>
      </w:tr>
    </w:tbl>
    <w:p w:rsidR="000470AA" w:rsidRPr="00AE751C" w:rsidRDefault="000470AA" w:rsidP="000470AA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AE751C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AE751C" w:rsidRDefault="000470AA" w:rsidP="000470AA">
            <w:pPr>
              <w:rPr>
                <w:b/>
                <w:sz w:val="20"/>
              </w:rPr>
            </w:pPr>
            <w:r w:rsidRPr="00AE751C">
              <w:rPr>
                <w:b/>
                <w:sz w:val="20"/>
              </w:rPr>
              <w:t xml:space="preserve">Wydział Współpracy z Mediami </w:t>
            </w:r>
          </w:p>
          <w:p w:rsidR="000470AA" w:rsidRPr="00AE751C" w:rsidRDefault="00DE775D" w:rsidP="000470AA">
            <w:pPr>
              <w:rPr>
                <w:sz w:val="20"/>
              </w:rPr>
            </w:pPr>
            <w:r w:rsidRPr="00AE751C">
              <w:rPr>
                <w:sz w:val="20"/>
              </w:rPr>
              <w:t>T</w:t>
            </w:r>
            <w:r w:rsidR="000470AA" w:rsidRPr="00AE751C">
              <w:rPr>
                <w:sz w:val="20"/>
              </w:rPr>
              <w:t>el:</w:t>
            </w:r>
            <w:r w:rsidR="000470AA" w:rsidRPr="00AE751C">
              <w:rPr>
                <w:b/>
                <w:sz w:val="20"/>
              </w:rPr>
              <w:t xml:space="preserve"> </w:t>
            </w:r>
            <w:r w:rsidR="00097840" w:rsidRPr="00AE751C">
              <w:rPr>
                <w:sz w:val="20"/>
              </w:rPr>
              <w:t>22 608 34 91, 22</w:t>
            </w:r>
            <w:r w:rsidR="000470AA" w:rsidRPr="00AE751C">
              <w:rPr>
                <w:sz w:val="20"/>
              </w:rPr>
              <w:t xml:space="preserve"> 608 38 04 </w:t>
            </w:r>
          </w:p>
          <w:p w:rsidR="000470AA" w:rsidRPr="00A34A25" w:rsidRDefault="000470AA" w:rsidP="000470AA">
            <w:pPr>
              <w:rPr>
                <w:sz w:val="18"/>
                <w:lang w:val="en-US"/>
              </w:rPr>
            </w:pPr>
            <w:r w:rsidRPr="00A34A25">
              <w:rPr>
                <w:b/>
                <w:sz w:val="20"/>
                <w:lang w:val="en-US"/>
              </w:rPr>
              <w:t xml:space="preserve">e-mail: </w:t>
            </w:r>
            <w:hyperlink r:id="rId22" w:history="1">
              <w:r w:rsidRPr="00A34A25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A34A25" w:rsidRDefault="000470AA" w:rsidP="000470AA">
            <w:pPr>
              <w:rPr>
                <w:sz w:val="18"/>
                <w:lang w:val="en-US"/>
              </w:rPr>
            </w:pPr>
            <w:r w:rsidRPr="00AE751C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2992" behindDoc="0" locked="0" layoutInCell="1" allowOverlap="1" wp14:anchorId="707DB476" wp14:editId="218109E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AE751C" w:rsidRDefault="000470AA" w:rsidP="000470AA">
            <w:pPr>
              <w:rPr>
                <w:sz w:val="18"/>
              </w:rPr>
            </w:pPr>
            <w:r w:rsidRPr="00AE751C">
              <w:rPr>
                <w:sz w:val="20"/>
              </w:rPr>
              <w:t>www.stat.gov.pl</w:t>
            </w:r>
          </w:p>
        </w:tc>
      </w:tr>
      <w:tr w:rsidR="000470AA" w:rsidRPr="00AE751C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AE751C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AE751C" w:rsidRDefault="000470AA" w:rsidP="000470AA">
            <w:pPr>
              <w:rPr>
                <w:sz w:val="18"/>
              </w:rPr>
            </w:pPr>
            <w:r w:rsidRPr="00AE751C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5040" behindDoc="0" locked="0" layoutInCell="1" allowOverlap="1" wp14:anchorId="6E66BB10" wp14:editId="76233937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AE751C" w:rsidRDefault="000470AA" w:rsidP="000470AA">
            <w:pPr>
              <w:rPr>
                <w:sz w:val="18"/>
              </w:rPr>
            </w:pPr>
            <w:r w:rsidRPr="00AE751C">
              <w:rPr>
                <w:sz w:val="20"/>
              </w:rPr>
              <w:t>@GUS_STAT</w:t>
            </w:r>
          </w:p>
        </w:tc>
      </w:tr>
      <w:tr w:rsidR="000470AA" w:rsidRPr="00AE751C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AE751C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AE751C" w:rsidRDefault="000470AA" w:rsidP="000470AA">
            <w:pPr>
              <w:rPr>
                <w:sz w:val="18"/>
              </w:rPr>
            </w:pPr>
            <w:r w:rsidRPr="00AE751C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4016" behindDoc="0" locked="0" layoutInCell="1" allowOverlap="1" wp14:anchorId="4056DC1B" wp14:editId="5F46CBA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AE751C" w:rsidRDefault="000470AA" w:rsidP="000470AA">
            <w:pPr>
              <w:rPr>
                <w:sz w:val="20"/>
              </w:rPr>
            </w:pPr>
            <w:r w:rsidRPr="00AE751C">
              <w:rPr>
                <w:sz w:val="20"/>
              </w:rPr>
              <w:t>@</w:t>
            </w:r>
            <w:proofErr w:type="spellStart"/>
            <w:r w:rsidRPr="00AE751C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AE751C" w:rsidRDefault="009E3F12" w:rsidP="00E76D26">
      <w:pPr>
        <w:rPr>
          <w:sz w:val="18"/>
        </w:rPr>
      </w:pPr>
      <w:r w:rsidRPr="00AE751C">
        <w:rPr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9FFA953" wp14:editId="200F9EF6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6DF" w:rsidRDefault="00E616DF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E616DF" w:rsidRPr="006761A7" w:rsidRDefault="00E616DF" w:rsidP="00883763">
                            <w:pPr>
                              <w:rPr>
                                <w:b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E616DF" w:rsidRPr="006761A7" w:rsidRDefault="00E616D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E616DF" w:rsidRPr="006761A7" w:rsidRDefault="00E616D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E616DF" w:rsidRPr="00E233EA" w:rsidRDefault="00E616DF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E616DF" w:rsidRPr="00E233EA" w:rsidRDefault="00E616DF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E233E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E616DF" w:rsidRPr="006761A7" w:rsidRDefault="00E616D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E616DF" w:rsidRPr="006761A7" w:rsidRDefault="00E616D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E616DF" w:rsidRPr="006761A7" w:rsidRDefault="00E616D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E616DF" w:rsidRPr="006761A7" w:rsidRDefault="00E616D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E616DF" w:rsidRPr="006761A7" w:rsidRDefault="00E616D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E616DF" w:rsidRPr="006761A7" w:rsidRDefault="00E616DF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E616DF" w:rsidRDefault="00E616DF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E616DF" w:rsidRPr="006761A7" w:rsidRDefault="00E616D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E616DF" w:rsidRPr="00566A43" w:rsidRDefault="00E616D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Pr="00566A4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.5pt;margin-top:34.7pt;width:516.5pt;height:349.8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CP0fIc+AgAAdAQAAA4A&#10;AAAAAAAAAAAAAAAALgIAAGRycy9lMm9Eb2MueG1sUEsBAi0AFAAGAAgAAAAhACsuXqPfAAAACQEA&#10;AA8AAAAAAAAAAAAAAAAAmAQAAGRycy9kb3ducmV2LnhtbFBLBQYAAAAABAAEAPMAAACkBQAAAAA=&#10;" fillcolor="#f2f2f2 [3052]" strokecolor="white [3212]">
                <v:textbox>
                  <w:txbxContent>
                    <w:p w:rsidR="00E616DF" w:rsidRDefault="00E616DF" w:rsidP="00883763">
                      <w:pPr>
                        <w:rPr>
                          <w:b/>
                        </w:rPr>
                      </w:pPr>
                    </w:p>
                    <w:p w:rsidR="00E616DF" w:rsidRPr="006761A7" w:rsidRDefault="00E616DF" w:rsidP="00883763">
                      <w:pPr>
                        <w:rPr>
                          <w:b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E616DF" w:rsidRPr="006761A7" w:rsidRDefault="00E616DF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E616DF" w:rsidRPr="006761A7" w:rsidRDefault="00E616DF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E616DF" w:rsidRPr="00E233EA" w:rsidRDefault="00E616DF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E616DF" w:rsidRPr="00E233EA" w:rsidRDefault="00E616DF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E233EA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E616DF" w:rsidRPr="006761A7" w:rsidRDefault="00E616DF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E616DF" w:rsidRPr="006761A7" w:rsidRDefault="00E616DF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E616DF" w:rsidRPr="006761A7" w:rsidRDefault="00E616DF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E616DF" w:rsidRPr="006761A7" w:rsidRDefault="00E616DF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E616DF" w:rsidRPr="006761A7" w:rsidRDefault="00E616DF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E616DF" w:rsidRPr="006761A7" w:rsidRDefault="00E616DF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E616DF" w:rsidRDefault="00E616DF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E616DF" w:rsidRPr="006761A7" w:rsidRDefault="00E616DF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E616DF" w:rsidRPr="00566A43" w:rsidRDefault="00E616DF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Pr="00566A4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AE751C" w:rsidSect="00EF7B36">
      <w:headerReference w:type="default" r:id="rId44"/>
      <w:footerReference w:type="default" r:id="rId45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6DF" w:rsidRDefault="00E616DF" w:rsidP="000662E2">
      <w:pPr>
        <w:spacing w:after="0" w:line="240" w:lineRule="auto"/>
      </w:pPr>
      <w:r>
        <w:separator/>
      </w:r>
    </w:p>
  </w:endnote>
  <w:endnote w:type="continuationSeparator" w:id="0">
    <w:p w:rsidR="00E616DF" w:rsidRDefault="00E616DF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913465"/>
      <w:docPartObj>
        <w:docPartGallery w:val="Page Numbers (Bottom of Page)"/>
        <w:docPartUnique/>
      </w:docPartObj>
    </w:sdtPr>
    <w:sdtContent>
      <w:p w:rsidR="00E616DF" w:rsidRDefault="00E616DF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E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957311"/>
      <w:docPartObj>
        <w:docPartGallery w:val="Page Numbers (Bottom of Page)"/>
        <w:docPartUnique/>
      </w:docPartObj>
    </w:sdtPr>
    <w:sdtContent>
      <w:p w:rsidR="00E616DF" w:rsidRDefault="00E616DF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E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Content>
      <w:p w:rsidR="00E616DF" w:rsidRDefault="00E616DF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E9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6DF" w:rsidRDefault="00E616DF" w:rsidP="000662E2">
      <w:pPr>
        <w:spacing w:after="0" w:line="240" w:lineRule="auto"/>
      </w:pPr>
      <w:r>
        <w:separator/>
      </w:r>
    </w:p>
  </w:footnote>
  <w:footnote w:type="continuationSeparator" w:id="0">
    <w:p w:rsidR="00E616DF" w:rsidRDefault="00E616DF" w:rsidP="000662E2">
      <w:pPr>
        <w:spacing w:after="0" w:line="240" w:lineRule="auto"/>
      </w:pPr>
      <w:r>
        <w:continuationSeparator/>
      </w:r>
    </w:p>
  </w:footnote>
  <w:footnote w:id="1">
    <w:p w:rsidR="00E616DF" w:rsidRPr="00F4410C" w:rsidRDefault="00E616DF" w:rsidP="00934246">
      <w:pPr>
        <w:pStyle w:val="NormalnyWeb"/>
        <w:spacing w:before="0" w:beforeAutospacing="0" w:after="0" w:afterAutospacing="0"/>
        <w:rPr>
          <w:rFonts w:ascii="Fira Sans" w:hAnsi="Fira Sans"/>
          <w:color w:val="222222"/>
          <w:sz w:val="16"/>
          <w:szCs w:val="16"/>
          <w:lang w:val="pl-PL"/>
        </w:rPr>
      </w:pPr>
      <w:r w:rsidRPr="00095882">
        <w:rPr>
          <w:rStyle w:val="Odwoanieprzypisudolnego"/>
          <w:rFonts w:ascii="Fira Sans" w:hAnsi="Fira Sans"/>
          <w:sz w:val="16"/>
          <w:szCs w:val="16"/>
        </w:rPr>
        <w:footnoteRef/>
      </w:r>
      <w:r w:rsidRPr="00701C5E">
        <w:rPr>
          <w:lang w:val="pl-PL"/>
        </w:rPr>
        <w:t xml:space="preserve"> </w:t>
      </w:r>
      <w:r w:rsidRPr="00701C5E">
        <w:rPr>
          <w:rFonts w:ascii="Fira Sans" w:hAnsi="Fira Sans"/>
          <w:color w:val="222222"/>
          <w:sz w:val="16"/>
          <w:szCs w:val="16"/>
          <w:lang w:val="pl-PL"/>
        </w:rPr>
        <w:t>Zalecenia</w:t>
      </w:r>
      <w:r w:rsidRPr="00F4410C">
        <w:rPr>
          <w:rFonts w:ascii="Fira Sans" w:hAnsi="Fira Sans"/>
          <w:color w:val="222222"/>
          <w:sz w:val="16"/>
          <w:szCs w:val="16"/>
          <w:lang w:val="pl-PL"/>
        </w:rPr>
        <w:t xml:space="preserve"> rekomendowane przez Eurostat dotyczące wskaźników cen kon</w:t>
      </w:r>
      <w:r w:rsidR="00566A43">
        <w:rPr>
          <w:rFonts w:ascii="Fira Sans" w:hAnsi="Fira Sans"/>
          <w:color w:val="222222"/>
          <w:sz w:val="16"/>
          <w:szCs w:val="16"/>
          <w:lang w:val="pl-PL"/>
        </w:rPr>
        <w:t>sumpcyjnych prezentowane są pod </w:t>
      </w:r>
      <w:r w:rsidRPr="00F4410C">
        <w:rPr>
          <w:rFonts w:ascii="Fira Sans" w:hAnsi="Fira Sans"/>
          <w:color w:val="222222"/>
          <w:sz w:val="16"/>
          <w:szCs w:val="16"/>
          <w:lang w:val="pl-PL"/>
        </w:rPr>
        <w:t xml:space="preserve">linkiem </w:t>
      </w:r>
      <w:hyperlink r:id="rId1" w:history="1">
        <w:r w:rsidRPr="00F4410C">
          <w:rPr>
            <w:rStyle w:val="Hipercze"/>
            <w:rFonts w:ascii="Fira Sans" w:hAnsi="Fira Sans"/>
            <w:sz w:val="16"/>
            <w:szCs w:val="16"/>
            <w:lang w:val="pl-PL"/>
          </w:rPr>
          <w:t>https://stat.gov.pl/obszary-tematyczne/ceny-handel/wskazniki-cen/wytyczne-dotyczace-opracowania-hicp-w-kontekscie-kryzysu-zwiazanego-z-covid-19,19,1.html</w:t>
        </w:r>
      </w:hyperlink>
    </w:p>
    <w:p w:rsidR="00E616DF" w:rsidRPr="00701C5E" w:rsidRDefault="00E616DF" w:rsidP="00934246">
      <w:pPr>
        <w:pStyle w:val="Tekstprzypisudolnego"/>
        <w:rPr>
          <w:lang w:val="en-GB"/>
        </w:rPr>
      </w:pPr>
      <w:proofErr w:type="spellStart"/>
      <w:r w:rsidRPr="00701C5E">
        <w:rPr>
          <w:color w:val="222222"/>
          <w:sz w:val="16"/>
          <w:szCs w:val="16"/>
          <w:lang w:val="en-GB"/>
        </w:rPr>
        <w:t>Dokument</w:t>
      </w:r>
      <w:proofErr w:type="spellEnd"/>
      <w:r w:rsidRPr="00701C5E">
        <w:rPr>
          <w:color w:val="222222"/>
          <w:sz w:val="16"/>
          <w:szCs w:val="16"/>
          <w:lang w:val="en-GB"/>
        </w:rPr>
        <w:t xml:space="preserve"> “Guidance on the compilation of the HICP in the context of the COVID-19 crisis” </w:t>
      </w:r>
      <w:proofErr w:type="spellStart"/>
      <w:r w:rsidRPr="00701C5E">
        <w:rPr>
          <w:color w:val="222222"/>
          <w:sz w:val="16"/>
          <w:szCs w:val="16"/>
          <w:lang w:val="en-GB"/>
        </w:rPr>
        <w:t>został</w:t>
      </w:r>
      <w:proofErr w:type="spellEnd"/>
      <w:r w:rsidRPr="00701C5E">
        <w:rPr>
          <w:color w:val="222222"/>
          <w:sz w:val="16"/>
          <w:szCs w:val="16"/>
          <w:lang w:val="en-GB"/>
        </w:rPr>
        <w:t xml:space="preserve"> </w:t>
      </w:r>
      <w:proofErr w:type="spellStart"/>
      <w:r w:rsidRPr="00701C5E">
        <w:rPr>
          <w:color w:val="222222"/>
          <w:sz w:val="16"/>
          <w:szCs w:val="16"/>
          <w:lang w:val="en-GB"/>
        </w:rPr>
        <w:t>zamieszczony</w:t>
      </w:r>
      <w:proofErr w:type="spellEnd"/>
      <w:r w:rsidRPr="00701C5E">
        <w:rPr>
          <w:color w:val="222222"/>
          <w:sz w:val="16"/>
          <w:szCs w:val="16"/>
          <w:lang w:val="en-GB"/>
        </w:rPr>
        <w:t xml:space="preserve"> </w:t>
      </w:r>
      <w:proofErr w:type="spellStart"/>
      <w:r w:rsidRPr="00701C5E">
        <w:rPr>
          <w:color w:val="222222"/>
          <w:sz w:val="16"/>
          <w:szCs w:val="16"/>
          <w:lang w:val="en-GB"/>
        </w:rPr>
        <w:t>przez</w:t>
      </w:r>
      <w:proofErr w:type="spellEnd"/>
      <w:r w:rsidRPr="00701C5E">
        <w:rPr>
          <w:color w:val="222222"/>
          <w:sz w:val="16"/>
          <w:szCs w:val="16"/>
          <w:lang w:val="en-GB"/>
        </w:rPr>
        <w:t xml:space="preserve"> Eurostat pod </w:t>
      </w:r>
      <w:proofErr w:type="spellStart"/>
      <w:r w:rsidRPr="00701C5E">
        <w:rPr>
          <w:color w:val="222222"/>
          <w:sz w:val="16"/>
          <w:szCs w:val="16"/>
          <w:lang w:val="en-GB"/>
        </w:rPr>
        <w:t>linkiem</w:t>
      </w:r>
      <w:proofErr w:type="spellEnd"/>
      <w:r w:rsidRPr="00701C5E">
        <w:rPr>
          <w:color w:val="222222"/>
          <w:sz w:val="16"/>
          <w:szCs w:val="16"/>
          <w:lang w:val="en-GB"/>
        </w:rPr>
        <w:t xml:space="preserve"> </w:t>
      </w:r>
      <w:hyperlink r:id="rId2" w:history="1">
        <w:r w:rsidRPr="00701C5E">
          <w:rPr>
            <w:rStyle w:val="Hipercze"/>
            <w:sz w:val="16"/>
            <w:szCs w:val="16"/>
            <w:lang w:val="en-GB"/>
          </w:rPr>
          <w:t>https://ec.europa.eu/eurostat/documents/10186/10693286/HICP_guidance.pdf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6DF" w:rsidRDefault="00E616DF">
    <w:pPr>
      <w:pStyle w:val="Nagwek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3B54DD2" wp14:editId="1D774B2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D685AA1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E616DF" w:rsidRDefault="00E616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6DF" w:rsidRDefault="00E616DF" w:rsidP="00DE775D">
    <w:pPr>
      <w:pStyle w:val="Nagwek"/>
      <w:tabs>
        <w:tab w:val="clear" w:pos="4536"/>
        <w:tab w:val="clear" w:pos="9072"/>
        <w:tab w:val="right" w:pos="8067"/>
      </w:tabs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48A02AA" wp14:editId="3D94E6C9">
              <wp:simplePos x="0" y="0"/>
              <wp:positionH relativeFrom="column">
                <wp:posOffset>5206365</wp:posOffset>
              </wp:positionH>
              <wp:positionV relativeFrom="paragraph">
                <wp:posOffset>495935</wp:posOffset>
              </wp:positionV>
              <wp:extent cx="1871980" cy="10015855"/>
              <wp:effectExtent l="0" t="0" r="0" b="0"/>
              <wp:wrapTight wrapText="bothSides">
                <wp:wrapPolygon edited="0">
                  <wp:start x="-110" y="0"/>
                  <wp:lineTo x="-110" y="21590"/>
                  <wp:lineTo x="21600" y="21590"/>
                  <wp:lineTo x="21600" y="0"/>
                  <wp:lineTo x="-110" y="0"/>
                </wp:wrapPolygon>
              </wp:wrapTight>
              <wp:docPr id="11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1980" cy="100158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9027A51" id="Prostokąt 10" o:spid="_x0000_s1026" style="position:absolute;margin-left:409.95pt;margin-top:39.05pt;width:147.4pt;height:788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" fillcolor="#f2f2f2" stroked="f" strokeweight="1pt">
              <v:path arrowok="t"/>
              <w10:wrap type="tight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4667B3F" wp14:editId="3A92EBA4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16DF" w:rsidRPr="003C6C8D" w:rsidRDefault="00E616DF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29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E616DF" w:rsidRPr="003C6C8D" w:rsidRDefault="00E616DF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Pr="00502F8C">
      <w:rPr>
        <w:noProof/>
        <w:lang w:val="en-GB" w:eastAsia="en-GB"/>
      </w:rPr>
      <w:drawing>
        <wp:inline distT="0" distB="0" distL="0" distR="0" wp14:anchorId="3166BE8E" wp14:editId="4DA92E78">
          <wp:extent cx="1153274" cy="720000"/>
          <wp:effectExtent l="0" t="0" r="0" b="4445"/>
          <wp:docPr id="6" name="Obraz 6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</w:p>
  <w:p w:rsidR="00E616DF" w:rsidRDefault="00E616DF">
    <w:pPr>
      <w:pStyle w:val="Nagwek"/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E68861C" wp14:editId="3AEDDC2E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16DF" w:rsidRPr="00C97596" w:rsidRDefault="00E616DF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15.05.2020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AKeUfh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E616DF" w:rsidRPr="00C97596" w:rsidRDefault="00E616DF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15.05.2020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6DF" w:rsidRDefault="00E616DF">
    <w:pPr>
      <w:pStyle w:val="Nagwek"/>
    </w:pPr>
  </w:p>
  <w:p w:rsidR="00E616DF" w:rsidRDefault="00E616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35pt;height:124.6pt;visibility:visible" o:bullet="t">
        <v:imagedata r:id="rId1" o:title=""/>
      </v:shape>
    </w:pict>
  </w:numPicBullet>
  <w:numPicBullet w:numPicBulletId="1">
    <w:pict>
      <v:shape id="_x0000_i1029" type="#_x0000_t75" style="width:123.95pt;height:124.6pt;visibility:visibl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C846C9"/>
    <w:multiLevelType w:val="hybridMultilevel"/>
    <w:tmpl w:val="4FE0BD8A"/>
    <w:lvl w:ilvl="0" w:tplc="DE24A690">
      <w:numFmt w:val="bullet"/>
      <w:lvlText w:val="•"/>
      <w:lvlJc w:val="left"/>
      <w:pPr>
        <w:ind w:left="1065" w:hanging="705"/>
      </w:pPr>
      <w:rPr>
        <w:rFonts w:ascii="Fira Sans" w:eastAsiaTheme="minorHAnsi" w:hAnsi="Fira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C5B7F"/>
    <w:multiLevelType w:val="hybridMultilevel"/>
    <w:tmpl w:val="D1F09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94D"/>
    <w:rsid w:val="00001C5B"/>
    <w:rsid w:val="00003437"/>
    <w:rsid w:val="0000709F"/>
    <w:rsid w:val="000108B8"/>
    <w:rsid w:val="000152F5"/>
    <w:rsid w:val="0002205C"/>
    <w:rsid w:val="000220AE"/>
    <w:rsid w:val="00034160"/>
    <w:rsid w:val="0004015D"/>
    <w:rsid w:val="0004582E"/>
    <w:rsid w:val="0004646A"/>
    <w:rsid w:val="000470AA"/>
    <w:rsid w:val="000539AA"/>
    <w:rsid w:val="00057CA1"/>
    <w:rsid w:val="000662E2"/>
    <w:rsid w:val="00066883"/>
    <w:rsid w:val="00066C18"/>
    <w:rsid w:val="00074DD8"/>
    <w:rsid w:val="000800B4"/>
    <w:rsid w:val="000806F7"/>
    <w:rsid w:val="00095882"/>
    <w:rsid w:val="00097840"/>
    <w:rsid w:val="000A4BF7"/>
    <w:rsid w:val="000A6963"/>
    <w:rsid w:val="000A7F1A"/>
    <w:rsid w:val="000B0727"/>
    <w:rsid w:val="000B1008"/>
    <w:rsid w:val="000B6497"/>
    <w:rsid w:val="000C135D"/>
    <w:rsid w:val="000D0E2A"/>
    <w:rsid w:val="000D1D43"/>
    <w:rsid w:val="000D225C"/>
    <w:rsid w:val="000D2A5C"/>
    <w:rsid w:val="000E0918"/>
    <w:rsid w:val="000F0AF2"/>
    <w:rsid w:val="001011C3"/>
    <w:rsid w:val="00110D87"/>
    <w:rsid w:val="001149A1"/>
    <w:rsid w:val="00114DB9"/>
    <w:rsid w:val="00116087"/>
    <w:rsid w:val="001179CF"/>
    <w:rsid w:val="00130296"/>
    <w:rsid w:val="001317AE"/>
    <w:rsid w:val="00132297"/>
    <w:rsid w:val="001335DA"/>
    <w:rsid w:val="00135B65"/>
    <w:rsid w:val="00142037"/>
    <w:rsid w:val="001423B6"/>
    <w:rsid w:val="001448A7"/>
    <w:rsid w:val="00146621"/>
    <w:rsid w:val="001539C9"/>
    <w:rsid w:val="001600F9"/>
    <w:rsid w:val="00162325"/>
    <w:rsid w:val="00164CEA"/>
    <w:rsid w:val="001660CA"/>
    <w:rsid w:val="00170D13"/>
    <w:rsid w:val="001951DA"/>
    <w:rsid w:val="001A4B7F"/>
    <w:rsid w:val="001A78D0"/>
    <w:rsid w:val="001B0E45"/>
    <w:rsid w:val="001B3CA7"/>
    <w:rsid w:val="001C3269"/>
    <w:rsid w:val="001D1DB4"/>
    <w:rsid w:val="001D5C9E"/>
    <w:rsid w:val="001E1D94"/>
    <w:rsid w:val="001E7DBB"/>
    <w:rsid w:val="001F25B6"/>
    <w:rsid w:val="001F60D1"/>
    <w:rsid w:val="0020009D"/>
    <w:rsid w:val="00201740"/>
    <w:rsid w:val="002069C0"/>
    <w:rsid w:val="002133F1"/>
    <w:rsid w:val="002147B5"/>
    <w:rsid w:val="00220482"/>
    <w:rsid w:val="0022272D"/>
    <w:rsid w:val="0022312E"/>
    <w:rsid w:val="002412BC"/>
    <w:rsid w:val="00247B43"/>
    <w:rsid w:val="002574F9"/>
    <w:rsid w:val="00260F39"/>
    <w:rsid w:val="00262B61"/>
    <w:rsid w:val="0026302B"/>
    <w:rsid w:val="002724FF"/>
    <w:rsid w:val="00275FA6"/>
    <w:rsid w:val="00276811"/>
    <w:rsid w:val="00276C9A"/>
    <w:rsid w:val="00282699"/>
    <w:rsid w:val="00284859"/>
    <w:rsid w:val="00286FC8"/>
    <w:rsid w:val="00290CB6"/>
    <w:rsid w:val="002926DF"/>
    <w:rsid w:val="00292DBF"/>
    <w:rsid w:val="00296697"/>
    <w:rsid w:val="002A2C38"/>
    <w:rsid w:val="002A36C0"/>
    <w:rsid w:val="002A4D80"/>
    <w:rsid w:val="002A7E9B"/>
    <w:rsid w:val="002B0472"/>
    <w:rsid w:val="002B6B12"/>
    <w:rsid w:val="002D0020"/>
    <w:rsid w:val="002D24A5"/>
    <w:rsid w:val="002E6140"/>
    <w:rsid w:val="002E6985"/>
    <w:rsid w:val="002E71B6"/>
    <w:rsid w:val="002F77C8"/>
    <w:rsid w:val="003012B5"/>
    <w:rsid w:val="00304F22"/>
    <w:rsid w:val="00305162"/>
    <w:rsid w:val="00306C7C"/>
    <w:rsid w:val="00311E43"/>
    <w:rsid w:val="00317B04"/>
    <w:rsid w:val="00322EDD"/>
    <w:rsid w:val="00331616"/>
    <w:rsid w:val="00332320"/>
    <w:rsid w:val="00347D72"/>
    <w:rsid w:val="00357611"/>
    <w:rsid w:val="0036186D"/>
    <w:rsid w:val="00367237"/>
    <w:rsid w:val="0037077F"/>
    <w:rsid w:val="00370D51"/>
    <w:rsid w:val="00372411"/>
    <w:rsid w:val="00373882"/>
    <w:rsid w:val="003751B5"/>
    <w:rsid w:val="003843DB"/>
    <w:rsid w:val="00384BFA"/>
    <w:rsid w:val="003901AC"/>
    <w:rsid w:val="00392E81"/>
    <w:rsid w:val="00393761"/>
    <w:rsid w:val="00394B48"/>
    <w:rsid w:val="00397D18"/>
    <w:rsid w:val="003A0271"/>
    <w:rsid w:val="003A1B36"/>
    <w:rsid w:val="003A440F"/>
    <w:rsid w:val="003A4977"/>
    <w:rsid w:val="003B1454"/>
    <w:rsid w:val="003B18B6"/>
    <w:rsid w:val="003B4C47"/>
    <w:rsid w:val="003C59E0"/>
    <w:rsid w:val="003C6C8D"/>
    <w:rsid w:val="003D00E5"/>
    <w:rsid w:val="003D3B24"/>
    <w:rsid w:val="003D4F95"/>
    <w:rsid w:val="003D5F42"/>
    <w:rsid w:val="003D60A9"/>
    <w:rsid w:val="003F4C97"/>
    <w:rsid w:val="003F7FE6"/>
    <w:rsid w:val="00400193"/>
    <w:rsid w:val="004212E7"/>
    <w:rsid w:val="0042446D"/>
    <w:rsid w:val="00427BF8"/>
    <w:rsid w:val="00431C02"/>
    <w:rsid w:val="00437395"/>
    <w:rsid w:val="00445047"/>
    <w:rsid w:val="00445F90"/>
    <w:rsid w:val="00450616"/>
    <w:rsid w:val="00454E14"/>
    <w:rsid w:val="004566AB"/>
    <w:rsid w:val="00456C2F"/>
    <w:rsid w:val="0045762F"/>
    <w:rsid w:val="00457C6C"/>
    <w:rsid w:val="004601AC"/>
    <w:rsid w:val="00463E39"/>
    <w:rsid w:val="004657FC"/>
    <w:rsid w:val="004733F6"/>
    <w:rsid w:val="00474E69"/>
    <w:rsid w:val="00477F80"/>
    <w:rsid w:val="00493217"/>
    <w:rsid w:val="004957AB"/>
    <w:rsid w:val="0049621B"/>
    <w:rsid w:val="0049705B"/>
    <w:rsid w:val="004B2EAB"/>
    <w:rsid w:val="004C1895"/>
    <w:rsid w:val="004C4610"/>
    <w:rsid w:val="004C6D40"/>
    <w:rsid w:val="004F0C3C"/>
    <w:rsid w:val="004F63FC"/>
    <w:rsid w:val="00501F76"/>
    <w:rsid w:val="00502E6F"/>
    <w:rsid w:val="00502F8C"/>
    <w:rsid w:val="00505A92"/>
    <w:rsid w:val="005112CE"/>
    <w:rsid w:val="00511F19"/>
    <w:rsid w:val="00514030"/>
    <w:rsid w:val="0051646A"/>
    <w:rsid w:val="00516A50"/>
    <w:rsid w:val="005203F1"/>
    <w:rsid w:val="0052058B"/>
    <w:rsid w:val="00521BC3"/>
    <w:rsid w:val="00526A58"/>
    <w:rsid w:val="00533632"/>
    <w:rsid w:val="0053648F"/>
    <w:rsid w:val="00541C0F"/>
    <w:rsid w:val="00541E6E"/>
    <w:rsid w:val="0054251F"/>
    <w:rsid w:val="00550653"/>
    <w:rsid w:val="005520D8"/>
    <w:rsid w:val="00556CF1"/>
    <w:rsid w:val="00564C34"/>
    <w:rsid w:val="00566A43"/>
    <w:rsid w:val="00571BA5"/>
    <w:rsid w:val="005762A7"/>
    <w:rsid w:val="0058676C"/>
    <w:rsid w:val="005877DE"/>
    <w:rsid w:val="005916D7"/>
    <w:rsid w:val="00593CF4"/>
    <w:rsid w:val="005A047A"/>
    <w:rsid w:val="005A2784"/>
    <w:rsid w:val="005A698C"/>
    <w:rsid w:val="005C1AF8"/>
    <w:rsid w:val="005C5EF8"/>
    <w:rsid w:val="005D1BCF"/>
    <w:rsid w:val="005D1C04"/>
    <w:rsid w:val="005D470D"/>
    <w:rsid w:val="005E0799"/>
    <w:rsid w:val="005E2757"/>
    <w:rsid w:val="005E782A"/>
    <w:rsid w:val="005F4399"/>
    <w:rsid w:val="005F5A80"/>
    <w:rsid w:val="006044FF"/>
    <w:rsid w:val="00607CC5"/>
    <w:rsid w:val="00612A16"/>
    <w:rsid w:val="006149F0"/>
    <w:rsid w:val="00615A26"/>
    <w:rsid w:val="00633014"/>
    <w:rsid w:val="0063437B"/>
    <w:rsid w:val="006476FF"/>
    <w:rsid w:val="0066542B"/>
    <w:rsid w:val="0066616C"/>
    <w:rsid w:val="006673CA"/>
    <w:rsid w:val="00673C26"/>
    <w:rsid w:val="0067430E"/>
    <w:rsid w:val="00674A8B"/>
    <w:rsid w:val="006812AF"/>
    <w:rsid w:val="00682B23"/>
    <w:rsid w:val="0068327D"/>
    <w:rsid w:val="00683EDE"/>
    <w:rsid w:val="00685123"/>
    <w:rsid w:val="00691225"/>
    <w:rsid w:val="00694AF0"/>
    <w:rsid w:val="0069687E"/>
    <w:rsid w:val="0069693F"/>
    <w:rsid w:val="0069739D"/>
    <w:rsid w:val="006A4686"/>
    <w:rsid w:val="006B0E9E"/>
    <w:rsid w:val="006B208D"/>
    <w:rsid w:val="006B20B4"/>
    <w:rsid w:val="006B5AE4"/>
    <w:rsid w:val="006C1539"/>
    <w:rsid w:val="006D086E"/>
    <w:rsid w:val="006D1507"/>
    <w:rsid w:val="006D4054"/>
    <w:rsid w:val="006D6B72"/>
    <w:rsid w:val="006E02EC"/>
    <w:rsid w:val="00701C5E"/>
    <w:rsid w:val="007034D7"/>
    <w:rsid w:val="007059D5"/>
    <w:rsid w:val="007162EB"/>
    <w:rsid w:val="007211B1"/>
    <w:rsid w:val="0072400B"/>
    <w:rsid w:val="007324DB"/>
    <w:rsid w:val="00733D55"/>
    <w:rsid w:val="007364D7"/>
    <w:rsid w:val="00746187"/>
    <w:rsid w:val="00752A67"/>
    <w:rsid w:val="00761070"/>
    <w:rsid w:val="0076254F"/>
    <w:rsid w:val="007801F5"/>
    <w:rsid w:val="00783CA4"/>
    <w:rsid w:val="007842FB"/>
    <w:rsid w:val="00786124"/>
    <w:rsid w:val="0078756B"/>
    <w:rsid w:val="00792E24"/>
    <w:rsid w:val="0079514B"/>
    <w:rsid w:val="007A2DC1"/>
    <w:rsid w:val="007B74D8"/>
    <w:rsid w:val="007D3319"/>
    <w:rsid w:val="007D335D"/>
    <w:rsid w:val="007E3314"/>
    <w:rsid w:val="007E4B03"/>
    <w:rsid w:val="007F324B"/>
    <w:rsid w:val="007F4D36"/>
    <w:rsid w:val="00802A9A"/>
    <w:rsid w:val="0080551D"/>
    <w:rsid w:val="0080553C"/>
    <w:rsid w:val="00805B46"/>
    <w:rsid w:val="00820461"/>
    <w:rsid w:val="00820B10"/>
    <w:rsid w:val="0082498D"/>
    <w:rsid w:val="00825DC2"/>
    <w:rsid w:val="00831172"/>
    <w:rsid w:val="00834AD3"/>
    <w:rsid w:val="008362A4"/>
    <w:rsid w:val="00843795"/>
    <w:rsid w:val="0084421C"/>
    <w:rsid w:val="00847F0F"/>
    <w:rsid w:val="00852448"/>
    <w:rsid w:val="00854143"/>
    <w:rsid w:val="0088258A"/>
    <w:rsid w:val="008832C4"/>
    <w:rsid w:val="00883763"/>
    <w:rsid w:val="00886332"/>
    <w:rsid w:val="00891A48"/>
    <w:rsid w:val="008A26D9"/>
    <w:rsid w:val="008A7FA1"/>
    <w:rsid w:val="008B0AF7"/>
    <w:rsid w:val="008B22DF"/>
    <w:rsid w:val="008B4AE0"/>
    <w:rsid w:val="008C0C29"/>
    <w:rsid w:val="008C7A01"/>
    <w:rsid w:val="008D368B"/>
    <w:rsid w:val="008E5CBF"/>
    <w:rsid w:val="008F07F6"/>
    <w:rsid w:val="008F3638"/>
    <w:rsid w:val="008F4441"/>
    <w:rsid w:val="008F6F31"/>
    <w:rsid w:val="008F74DF"/>
    <w:rsid w:val="009127BA"/>
    <w:rsid w:val="00916782"/>
    <w:rsid w:val="00917CCF"/>
    <w:rsid w:val="009227A6"/>
    <w:rsid w:val="00930ED9"/>
    <w:rsid w:val="00933B26"/>
    <w:rsid w:val="00933EC1"/>
    <w:rsid w:val="00934246"/>
    <w:rsid w:val="00942DCA"/>
    <w:rsid w:val="0094377F"/>
    <w:rsid w:val="009530DB"/>
    <w:rsid w:val="00953676"/>
    <w:rsid w:val="009555D4"/>
    <w:rsid w:val="00964D8C"/>
    <w:rsid w:val="009705EE"/>
    <w:rsid w:val="00971217"/>
    <w:rsid w:val="00977927"/>
    <w:rsid w:val="0098135C"/>
    <w:rsid w:val="0098156A"/>
    <w:rsid w:val="00990133"/>
    <w:rsid w:val="00991BAC"/>
    <w:rsid w:val="009963D7"/>
    <w:rsid w:val="009A6EA0"/>
    <w:rsid w:val="009B1399"/>
    <w:rsid w:val="009B746F"/>
    <w:rsid w:val="009B76FA"/>
    <w:rsid w:val="009C1335"/>
    <w:rsid w:val="009C1AB2"/>
    <w:rsid w:val="009C375D"/>
    <w:rsid w:val="009C5407"/>
    <w:rsid w:val="009C7251"/>
    <w:rsid w:val="009E1FE1"/>
    <w:rsid w:val="009E2E91"/>
    <w:rsid w:val="009E3BF4"/>
    <w:rsid w:val="009E3F12"/>
    <w:rsid w:val="009E3FA7"/>
    <w:rsid w:val="009E410D"/>
    <w:rsid w:val="009F5815"/>
    <w:rsid w:val="00A07F00"/>
    <w:rsid w:val="00A12435"/>
    <w:rsid w:val="00A139F5"/>
    <w:rsid w:val="00A2136A"/>
    <w:rsid w:val="00A34A25"/>
    <w:rsid w:val="00A34C24"/>
    <w:rsid w:val="00A365F4"/>
    <w:rsid w:val="00A37CE0"/>
    <w:rsid w:val="00A459FF"/>
    <w:rsid w:val="00A460E6"/>
    <w:rsid w:val="00A46BD5"/>
    <w:rsid w:val="00A47937"/>
    <w:rsid w:val="00A47D80"/>
    <w:rsid w:val="00A51BB2"/>
    <w:rsid w:val="00A53132"/>
    <w:rsid w:val="00A55B73"/>
    <w:rsid w:val="00A563F2"/>
    <w:rsid w:val="00A566E8"/>
    <w:rsid w:val="00A810F9"/>
    <w:rsid w:val="00A86ECC"/>
    <w:rsid w:val="00A86FCC"/>
    <w:rsid w:val="00A93892"/>
    <w:rsid w:val="00AA13BD"/>
    <w:rsid w:val="00AA710D"/>
    <w:rsid w:val="00AB6D25"/>
    <w:rsid w:val="00AD0B46"/>
    <w:rsid w:val="00AD4947"/>
    <w:rsid w:val="00AE20FD"/>
    <w:rsid w:val="00AE2D4B"/>
    <w:rsid w:val="00AE3075"/>
    <w:rsid w:val="00AE4F99"/>
    <w:rsid w:val="00AE6B84"/>
    <w:rsid w:val="00AE751C"/>
    <w:rsid w:val="00B05BC8"/>
    <w:rsid w:val="00B06265"/>
    <w:rsid w:val="00B11B69"/>
    <w:rsid w:val="00B14952"/>
    <w:rsid w:val="00B210CA"/>
    <w:rsid w:val="00B31E5A"/>
    <w:rsid w:val="00B322EC"/>
    <w:rsid w:val="00B37F5A"/>
    <w:rsid w:val="00B40DD0"/>
    <w:rsid w:val="00B5056F"/>
    <w:rsid w:val="00B50A80"/>
    <w:rsid w:val="00B609CE"/>
    <w:rsid w:val="00B653AB"/>
    <w:rsid w:val="00B65F9E"/>
    <w:rsid w:val="00B66B19"/>
    <w:rsid w:val="00B86E2F"/>
    <w:rsid w:val="00B914E9"/>
    <w:rsid w:val="00B94737"/>
    <w:rsid w:val="00B94D9A"/>
    <w:rsid w:val="00B956EE"/>
    <w:rsid w:val="00B97152"/>
    <w:rsid w:val="00B97C47"/>
    <w:rsid w:val="00BA0B97"/>
    <w:rsid w:val="00BA1932"/>
    <w:rsid w:val="00BA2BA1"/>
    <w:rsid w:val="00BA3562"/>
    <w:rsid w:val="00BA5A42"/>
    <w:rsid w:val="00BB4773"/>
    <w:rsid w:val="00BB4F09"/>
    <w:rsid w:val="00BC1505"/>
    <w:rsid w:val="00BC17C7"/>
    <w:rsid w:val="00BC50F0"/>
    <w:rsid w:val="00BD4CA6"/>
    <w:rsid w:val="00BD4E33"/>
    <w:rsid w:val="00BD71BA"/>
    <w:rsid w:val="00BE4B65"/>
    <w:rsid w:val="00C00EDA"/>
    <w:rsid w:val="00C030DE"/>
    <w:rsid w:val="00C22105"/>
    <w:rsid w:val="00C23F3B"/>
    <w:rsid w:val="00C244B6"/>
    <w:rsid w:val="00C27D75"/>
    <w:rsid w:val="00C3702F"/>
    <w:rsid w:val="00C4500A"/>
    <w:rsid w:val="00C55C91"/>
    <w:rsid w:val="00C62E44"/>
    <w:rsid w:val="00C64A37"/>
    <w:rsid w:val="00C662A5"/>
    <w:rsid w:val="00C7158E"/>
    <w:rsid w:val="00C7250B"/>
    <w:rsid w:val="00C7346B"/>
    <w:rsid w:val="00C73B5E"/>
    <w:rsid w:val="00C77C0E"/>
    <w:rsid w:val="00C8000E"/>
    <w:rsid w:val="00C91687"/>
    <w:rsid w:val="00C924A8"/>
    <w:rsid w:val="00C945FE"/>
    <w:rsid w:val="00C950B4"/>
    <w:rsid w:val="00C96FAA"/>
    <w:rsid w:val="00C97A04"/>
    <w:rsid w:val="00CA107B"/>
    <w:rsid w:val="00CA484D"/>
    <w:rsid w:val="00CA4FB6"/>
    <w:rsid w:val="00CA5FC4"/>
    <w:rsid w:val="00CB565C"/>
    <w:rsid w:val="00CC739E"/>
    <w:rsid w:val="00CD1E2E"/>
    <w:rsid w:val="00CD2371"/>
    <w:rsid w:val="00CD58B7"/>
    <w:rsid w:val="00CE019A"/>
    <w:rsid w:val="00CE52F0"/>
    <w:rsid w:val="00CF031B"/>
    <w:rsid w:val="00CF08EF"/>
    <w:rsid w:val="00CF4099"/>
    <w:rsid w:val="00CF4349"/>
    <w:rsid w:val="00CF4C96"/>
    <w:rsid w:val="00D00796"/>
    <w:rsid w:val="00D02D2C"/>
    <w:rsid w:val="00D11CF3"/>
    <w:rsid w:val="00D23F61"/>
    <w:rsid w:val="00D261A2"/>
    <w:rsid w:val="00D37A41"/>
    <w:rsid w:val="00D538E4"/>
    <w:rsid w:val="00D616D2"/>
    <w:rsid w:val="00D63B5F"/>
    <w:rsid w:val="00D7066F"/>
    <w:rsid w:val="00D70EF7"/>
    <w:rsid w:val="00D815F5"/>
    <w:rsid w:val="00D8397C"/>
    <w:rsid w:val="00D83F2F"/>
    <w:rsid w:val="00D84DE7"/>
    <w:rsid w:val="00D94EED"/>
    <w:rsid w:val="00D96026"/>
    <w:rsid w:val="00DA0243"/>
    <w:rsid w:val="00DA433C"/>
    <w:rsid w:val="00DA5DA2"/>
    <w:rsid w:val="00DA7C1C"/>
    <w:rsid w:val="00DB147A"/>
    <w:rsid w:val="00DB1B7A"/>
    <w:rsid w:val="00DB51F0"/>
    <w:rsid w:val="00DB5680"/>
    <w:rsid w:val="00DB78DA"/>
    <w:rsid w:val="00DC226C"/>
    <w:rsid w:val="00DC6708"/>
    <w:rsid w:val="00DC7CFA"/>
    <w:rsid w:val="00DD4A41"/>
    <w:rsid w:val="00DE0AFD"/>
    <w:rsid w:val="00DE775D"/>
    <w:rsid w:val="00DF712D"/>
    <w:rsid w:val="00E01436"/>
    <w:rsid w:val="00E045BD"/>
    <w:rsid w:val="00E17A9F"/>
    <w:rsid w:val="00E17B77"/>
    <w:rsid w:val="00E23337"/>
    <w:rsid w:val="00E259EA"/>
    <w:rsid w:val="00E27E85"/>
    <w:rsid w:val="00E30793"/>
    <w:rsid w:val="00E32061"/>
    <w:rsid w:val="00E37F13"/>
    <w:rsid w:val="00E41FCF"/>
    <w:rsid w:val="00E42FF9"/>
    <w:rsid w:val="00E4714C"/>
    <w:rsid w:val="00E51AEB"/>
    <w:rsid w:val="00E522A7"/>
    <w:rsid w:val="00E54452"/>
    <w:rsid w:val="00E616DF"/>
    <w:rsid w:val="00E664C5"/>
    <w:rsid w:val="00E671A2"/>
    <w:rsid w:val="00E67C66"/>
    <w:rsid w:val="00E70563"/>
    <w:rsid w:val="00E76D26"/>
    <w:rsid w:val="00E95BE5"/>
    <w:rsid w:val="00EB02C9"/>
    <w:rsid w:val="00EB1390"/>
    <w:rsid w:val="00EB2C71"/>
    <w:rsid w:val="00EB4340"/>
    <w:rsid w:val="00EB556D"/>
    <w:rsid w:val="00EB5A7D"/>
    <w:rsid w:val="00ED55C0"/>
    <w:rsid w:val="00ED63E8"/>
    <w:rsid w:val="00ED682B"/>
    <w:rsid w:val="00EE41D5"/>
    <w:rsid w:val="00EE696D"/>
    <w:rsid w:val="00EF7B36"/>
    <w:rsid w:val="00F037A4"/>
    <w:rsid w:val="00F04C11"/>
    <w:rsid w:val="00F12FEC"/>
    <w:rsid w:val="00F26013"/>
    <w:rsid w:val="00F27C8F"/>
    <w:rsid w:val="00F30A0C"/>
    <w:rsid w:val="00F32749"/>
    <w:rsid w:val="00F3314D"/>
    <w:rsid w:val="00F37172"/>
    <w:rsid w:val="00F4477E"/>
    <w:rsid w:val="00F455A2"/>
    <w:rsid w:val="00F45717"/>
    <w:rsid w:val="00F479EB"/>
    <w:rsid w:val="00F52335"/>
    <w:rsid w:val="00F65EEC"/>
    <w:rsid w:val="00F6637E"/>
    <w:rsid w:val="00F67D8F"/>
    <w:rsid w:val="00F739B3"/>
    <w:rsid w:val="00F74897"/>
    <w:rsid w:val="00F74B10"/>
    <w:rsid w:val="00F75C6D"/>
    <w:rsid w:val="00F80247"/>
    <w:rsid w:val="00F802BE"/>
    <w:rsid w:val="00F80E93"/>
    <w:rsid w:val="00F86024"/>
    <w:rsid w:val="00F8611A"/>
    <w:rsid w:val="00F86C02"/>
    <w:rsid w:val="00F90BB1"/>
    <w:rsid w:val="00F92824"/>
    <w:rsid w:val="00F93CA3"/>
    <w:rsid w:val="00FA5128"/>
    <w:rsid w:val="00FB42D4"/>
    <w:rsid w:val="00FB5906"/>
    <w:rsid w:val="00FB762F"/>
    <w:rsid w:val="00FC143D"/>
    <w:rsid w:val="00FC2AED"/>
    <w:rsid w:val="00FC303F"/>
    <w:rsid w:val="00FD5EA7"/>
    <w:rsid w:val="00FD6659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30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0E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0ED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ED9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A55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4C4610"/>
    <w:rPr>
      <w:color w:val="954F72" w:themeColor="followedHyperlink"/>
      <w:u w:val="single"/>
    </w:rPr>
  </w:style>
  <w:style w:type="table" w:customStyle="1" w:styleId="Siatkatabelijasna111">
    <w:name w:val="Siatka tabeli — jasna111"/>
    <w:basedOn w:val="Standardowy"/>
    <w:uiPriority w:val="40"/>
    <w:rsid w:val="00260F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30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0E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0ED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ED9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A55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4C4610"/>
    <w:rPr>
      <w:color w:val="954F72" w:themeColor="followedHyperlink"/>
      <w:u w:val="single"/>
    </w:rPr>
  </w:style>
  <w:style w:type="table" w:customStyle="1" w:styleId="Siatkatabelijasna111">
    <w:name w:val="Siatka tabeli — jasna111"/>
    <w:basedOn w:val="Standardowy"/>
    <w:uiPriority w:val="40"/>
    <w:rsid w:val="00260F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1.xml"/><Relationship Id="rId18" Type="http://schemas.openxmlformats.org/officeDocument/2006/relationships/header" Target="header1.xml"/><Relationship Id="rId26" Type="http://schemas.openxmlformats.org/officeDocument/2006/relationships/hyperlink" Target="http://stat.gov.pl/sygnalne/komunikaty-i-obwieszczenia/" TargetMode="External"/><Relationship Id="rId39" Type="http://schemas.openxmlformats.org/officeDocument/2006/relationships/hyperlink" Target="https://bdl.stat.gov.pl/BDL/star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34" Type="http://schemas.openxmlformats.org/officeDocument/2006/relationships/hyperlink" Target="http://stat.gov.pl/metainformacje/slownik-pojec/pojecia-stosowane-w-statystyce-publicznej/32,pojecie.html" TargetMode="External"/><Relationship Id="rId42" Type="http://schemas.openxmlformats.org/officeDocument/2006/relationships/hyperlink" Target="http://stat.gov.pl/metainformacje/slownik-pojec/pojecia-stosowane-w-statystyce-publicznej/711,pojecie.html" TargetMode="External"/><Relationship Id="rId47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chart" Target="charts/chart5.xml"/><Relationship Id="rId25" Type="http://schemas.openxmlformats.org/officeDocument/2006/relationships/image" Target="media/image7.png"/><Relationship Id="rId33" Type="http://schemas.openxmlformats.org/officeDocument/2006/relationships/hyperlink" Target="http://stat.gov.pl/metainformacje/slownik-pojec/pojecia-stosowane-w-statystyce-publicznej/711,pojecie.html" TargetMode="External"/><Relationship Id="rId38" Type="http://schemas.openxmlformats.org/officeDocument/2006/relationships/hyperlink" Target="http://bdm.stat.gov.pl/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header" Target="header2.xml"/><Relationship Id="rId29" Type="http://schemas.openxmlformats.org/officeDocument/2006/relationships/hyperlink" Target="http://bdm.stat.gov.pl/" TargetMode="External"/><Relationship Id="rId41" Type="http://schemas.openxmlformats.org/officeDocument/2006/relationships/hyperlink" Target="http://stat.gov.pl/obszary-tematyczne/ceny-handel/cen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hyperlink" Target="http://stat.gov.pl/obszary-tematyczne/ceny-handel/ceny/" TargetMode="External"/><Relationship Id="rId37" Type="http://schemas.openxmlformats.org/officeDocument/2006/relationships/hyperlink" Target="http://swaid.stat.gov.pl/SitePagesDBW/Ceny.aspx" TargetMode="External"/><Relationship Id="rId40" Type="http://schemas.openxmlformats.org/officeDocument/2006/relationships/hyperlink" Target="http://stat.gov.pl/obszary-tematyczne/ceny-handel/wskazniki-cen/" TargetMode="Externa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image" Target="media/image5.png"/><Relationship Id="rId28" Type="http://schemas.openxmlformats.org/officeDocument/2006/relationships/hyperlink" Target="http://swaid.stat.gov.pl/SitePagesDBW/Ceny.aspx" TargetMode="External"/><Relationship Id="rId36" Type="http://schemas.openxmlformats.org/officeDocument/2006/relationships/hyperlink" Target="http://stat.gov.pl/sygnalne/informacje-sygnalne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31" Type="http://schemas.openxmlformats.org/officeDocument/2006/relationships/hyperlink" Target="http://stat.gov.pl/obszary-tematyczne/ceny-handel/wskazniki-cen/" TargetMode="External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2.xml"/><Relationship Id="rId22" Type="http://schemas.openxmlformats.org/officeDocument/2006/relationships/hyperlink" Target="mailto:obslugaprasowa@stat.gov.pl" TargetMode="External"/><Relationship Id="rId27" Type="http://schemas.openxmlformats.org/officeDocument/2006/relationships/hyperlink" Target="http://stat.gov.pl/sygnalne/informacje-sygnalne/" TargetMode="External"/><Relationship Id="rId30" Type="http://schemas.openxmlformats.org/officeDocument/2006/relationships/hyperlink" Target="https://bdl.stat.gov.pl/BDL/start" TargetMode="External"/><Relationship Id="rId35" Type="http://schemas.openxmlformats.org/officeDocument/2006/relationships/hyperlink" Target="http://stat.gov.pl/sygnalne/komunikaty-i-obwieszczenia/" TargetMode="External"/><Relationship Id="rId43" Type="http://schemas.openxmlformats.org/officeDocument/2006/relationships/hyperlink" Target="http://stat.gov.pl/metainformacje/slownik-pojec/pojecia-stosowane-w-statystyce-publicznej/32,pojecie.htm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eurostat/documents/10186/10693286/HICP_guidance.pdf" TargetMode="External"/><Relationship Id="rId1" Type="http://schemas.openxmlformats.org/officeDocument/2006/relationships/hyperlink" Target="https://stat.gov.pl/obszary-tematyczne/ceny-handel/wskazniki-cen/wytyczne-dotyczace-opracowania-hicp-w-kontekscie-kryzysu-zwiazanego-z-covid-19,19,1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9925199093703029"/>
          <c:y val="5.3855340776704272E-2"/>
          <c:w val="0.52658061332077077"/>
          <c:h val="0.790936210405628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7.4279464360269484E-3"/>
                  <c:y val="9.151541316541554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954768209071298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950857116038219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9588774350968982E-3"/>
                  <c:y val="-3.99350700836627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948386428271628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5.009818427616871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9129952044939755E-3"/>
                  <c:y val="-3.4169516067158572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WPŁYWY!$A$44:$A$52</c:f>
              <c:strCache>
                <c:ptCount val="9"/>
                <c:pt idx="0">
                  <c:v>Paliwa do prywatnych środków transportu</c:v>
                </c:pt>
                <c:pt idx="1">
                  <c:v>Ubezpieczenia</c:v>
                </c:pt>
                <c:pt idx="2">
                  <c:v>Mięso</c:v>
                </c:pt>
                <c:pt idx="3">
                  <c:v>Obuwie</c:v>
                </c:pt>
                <c:pt idx="4">
                  <c:v>Odzież</c:v>
                </c:pt>
                <c:pt idx="5">
                  <c:v>Owoce</c:v>
                </c:pt>
                <c:pt idx="6">
                  <c:v>Warzywa</c:v>
                </c:pt>
                <c:pt idx="7">
                  <c:v>Wywóz śmieci</c:v>
                </c:pt>
                <c:pt idx="8">
                  <c:v>Usługi transportowe</c:v>
                </c:pt>
              </c:strCache>
            </c:strRef>
          </c:cat>
          <c:val>
            <c:numRef>
              <c:f>WPŁYWY!$C$44:$C$52</c:f>
              <c:numCache>
                <c:formatCode>0.00</c:formatCode>
                <c:ptCount val="9"/>
                <c:pt idx="0">
                  <c:v>-0.67</c:v>
                </c:pt>
                <c:pt idx="1">
                  <c:v>-0.04</c:v>
                </c:pt>
                <c:pt idx="2">
                  <c:v>-0.03</c:v>
                </c:pt>
                <c:pt idx="3">
                  <c:v>0.03</c:v>
                </c:pt>
                <c:pt idx="4">
                  <c:v>0.03</c:v>
                </c:pt>
                <c:pt idx="5">
                  <c:v>0.04</c:v>
                </c:pt>
                <c:pt idx="6">
                  <c:v>0.06</c:v>
                </c:pt>
                <c:pt idx="7">
                  <c:v>0.09</c:v>
                </c:pt>
                <c:pt idx="8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504896"/>
        <c:axId val="99506432"/>
      </c:barChart>
      <c:catAx>
        <c:axId val="99504896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low"/>
        <c:spPr>
          <a:noFill/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99506432"/>
        <c:crossesAt val="0"/>
        <c:auto val="1"/>
        <c:lblAlgn val="ctr"/>
        <c:lblOffset val="200"/>
        <c:tickMarkSkip val="1"/>
        <c:noMultiLvlLbl val="0"/>
      </c:catAx>
      <c:valAx>
        <c:axId val="99506432"/>
        <c:scaling>
          <c:orientation val="minMax"/>
          <c:max val="0.30000000000000004"/>
          <c:min val="-0.75000000000000011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0" sourceLinked="1"/>
        <c:majorTickMark val="out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99504896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2863205691702072"/>
          <c:y val="4.5267504380125223E-2"/>
          <c:w val="0.51626076491275064"/>
          <c:h val="0.8785142984150642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</c:spPr>
          <c:invertIfNegative val="0"/>
          <c:dLbls>
            <c:numFmt formatCode="#,##0.00" sourceLinked="0"/>
            <c:spPr>
              <a:noFill/>
              <a:ln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'SYSTEM WAG'!$B$2:$B$13</c:f>
              <c:strCache>
                <c:ptCount val="12"/>
                <c:pt idx="0">
                  <c:v>Inne towary i usługi</c:v>
                </c:pt>
                <c:pt idx="1">
                  <c:v>Restauracje i hotele</c:v>
                </c:pt>
                <c:pt idx="2">
                  <c:v>Edukacja</c:v>
                </c:pt>
                <c:pt idx="3">
                  <c:v>Rekreacja i kultura</c:v>
                </c:pt>
                <c:pt idx="4">
                  <c:v>Łączność</c:v>
                </c:pt>
                <c:pt idx="5">
                  <c:v>Transport</c:v>
                </c:pt>
                <c:pt idx="6">
                  <c:v>Zdrowie</c:v>
                </c:pt>
                <c:pt idx="7">
                  <c:v>Wyposażenie mieszkania 
i prowadzenie gospodarstwa domowego</c:v>
                </c:pt>
                <c:pt idx="8">
                  <c:v>Użytkowanie mieszkania 
lub domu i nośniki energii</c:v>
                </c:pt>
                <c:pt idx="9">
                  <c:v>Odzież i obuwie</c:v>
                </c:pt>
                <c:pt idx="10">
                  <c:v>Napoje alkoholowe 
i wyroby tytoniowe</c:v>
                </c:pt>
                <c:pt idx="11">
                  <c:v>Żywność i napoje bezalkoholowe</c:v>
                </c:pt>
              </c:strCache>
            </c:strRef>
          </c:cat>
          <c:val>
            <c:numRef>
              <c:f>'SYSTEM WAG'!$H$2:$H$13</c:f>
              <c:numCache>
                <c:formatCode>0.00</c:formatCode>
                <c:ptCount val="12"/>
                <c:pt idx="0">
                  <c:v>5.72</c:v>
                </c:pt>
                <c:pt idx="1">
                  <c:v>6.12</c:v>
                </c:pt>
                <c:pt idx="2">
                  <c:v>1.1499999999999999</c:v>
                </c:pt>
                <c:pt idx="3">
                  <c:v>6.62</c:v>
                </c:pt>
                <c:pt idx="4">
                  <c:v>4.54</c:v>
                </c:pt>
                <c:pt idx="5">
                  <c:v>9.89</c:v>
                </c:pt>
                <c:pt idx="6">
                  <c:v>5.29</c:v>
                </c:pt>
                <c:pt idx="7">
                  <c:v>5.8</c:v>
                </c:pt>
                <c:pt idx="8">
                  <c:v>18.440000000000001</c:v>
                </c:pt>
                <c:pt idx="9">
                  <c:v>4.9400000000000004</c:v>
                </c:pt>
                <c:pt idx="10">
                  <c:v>6.25</c:v>
                </c:pt>
                <c:pt idx="11">
                  <c:v>25.24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0144256"/>
        <c:axId val="100147200"/>
      </c:barChart>
      <c:catAx>
        <c:axId val="100144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 algn="r">
              <a:defRPr sz="800"/>
            </a:pPr>
            <a:endParaRPr lang="en-US"/>
          </a:p>
        </c:txPr>
        <c:crossAx val="100147200"/>
        <c:crosses val="autoZero"/>
        <c:auto val="0"/>
        <c:lblAlgn val="ctr"/>
        <c:lblOffset val="100"/>
        <c:noMultiLvlLbl val="0"/>
      </c:catAx>
      <c:valAx>
        <c:axId val="100147200"/>
        <c:scaling>
          <c:orientation val="minMax"/>
        </c:scaling>
        <c:delete val="0"/>
        <c:axPos val="b"/>
        <c:majorGridlines>
          <c:spPr>
            <a:ln w="3175">
              <a:solidFill>
                <a:srgbClr val="B2B2B2"/>
              </a:solidFill>
              <a:prstDash val="sysDot"/>
            </a:ln>
          </c:spPr>
        </c:majorGridlines>
        <c:title>
          <c:tx>
            <c:rich>
              <a:bodyPr anchor="b" anchorCtr="1"/>
              <a:lstStyle/>
              <a:p>
                <a:pPr algn="r">
                  <a:defRPr/>
                </a:pPr>
                <a:r>
                  <a:rPr lang="pl-PL" b="0"/>
                  <a:t>%</a:t>
                </a:r>
              </a:p>
            </c:rich>
          </c:tx>
          <c:layout>
            <c:manualLayout>
              <c:xMode val="edge"/>
              <c:yMode val="edge"/>
              <c:x val="0.96046223117610507"/>
              <c:y val="0.93581559052340313"/>
            </c:manualLayout>
          </c:layout>
          <c:overlay val="0"/>
          <c:spPr>
            <a:noFill/>
            <a:ln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noFill/>
          <a:ln w="6350">
            <a:noFill/>
            <a:prstDash val="sysDot"/>
          </a:ln>
        </c:spPr>
        <c:crossAx val="1001442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Fira Sans" pitchFamily="34" charset="0"/>
          <a:ea typeface="Fira Sans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4"/>
            <c:bubble3D val="0"/>
          </c:dPt>
          <c:dPt>
            <c:idx val="25"/>
            <c:bubble3D val="0"/>
          </c:dPt>
          <c:dLbls>
            <c:dLbl>
              <c:idx val="0"/>
              <c:layout>
                <c:manualLayout>
                  <c:x val="-4.6445468024195004E-2"/>
                  <c:y val="5.17233250035362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3124286853507405E-2"/>
                  <c:y val="-2.9647791032109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9761573592813704E-2"/>
                  <c:y val="4.08977320948652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0094330818183274E-2"/>
                  <c:y val="-4.45423054114771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7078767033688798E-2"/>
                  <c:y val="4.5081017311579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7650175857449057E-2"/>
                  <c:y val="-4.22725535927833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4247716857724923E-2"/>
                  <c:y val="4.10739180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4209516178221482E-2"/>
                  <c:y val="4.15453515537844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585270069167603E-2"/>
                  <c:y val="3.97973908085282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5270582150507206E-2"/>
                  <c:y val="-4.42110518987949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1.2172178246470648E-2"/>
                  <c:y val="1.55939190484041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7.1728440329714663E-2"/>
                  <c:y val="-2.09428678125345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3.3006609834662366E-2"/>
                  <c:y val="-4.835539402505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2.0356471073821859E-2"/>
                  <c:y val="-3.29771171397349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8.8512508000176508E-3"/>
                  <c:y val="-1.74855100665145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1.2516395724752537E-2"/>
                  <c:y val="1.87219109358515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3.5976911103846362E-2"/>
                  <c:y val="4.175601325075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6.7581122962760186E-3"/>
                  <c:y val="-8.643802531156409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9165316280444451E-2"/>
                  <c:y val="4.0945321792603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8587335297959095E-2"/>
                  <c:y val="4.04658370043271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3.8013274159369878E-2"/>
                  <c:y val="4.06904108164203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6.000355377514182E-2"/>
                  <c:y val="-2.89804487195939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4348846744937977E-3"/>
                  <c:y val="-2.44554399135528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6.4792085838631178E-2"/>
                  <c:y val="-3.5300522264281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5.4959735156323769E-2"/>
                  <c:y val="-3.12986501808440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2.5674301071814804E-2"/>
                  <c:y val="-6.5556993778651609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0,7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2.3522786084724048E-2"/>
                  <c:y val="2.7183200707218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'M-1'!$B$38:$B$53</c:f>
              <c:strCache>
                <c:ptCount val="1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</c:strCache>
            </c:strRef>
          </c:cat>
          <c:val>
            <c:numRef>
              <c:f>'M-1'!$C$38:$C$53</c:f>
              <c:numCache>
                <c:formatCode>0.0</c:formatCode>
                <c:ptCount val="16"/>
                <c:pt idx="0">
                  <c:v>-0.2</c:v>
                </c:pt>
                <c:pt idx="1">
                  <c:v>0.4</c:v>
                </c:pt>
                <c:pt idx="2">
                  <c:v>0.3</c:v>
                </c:pt>
                <c:pt idx="3">
                  <c:v>1.1000000000000001</c:v>
                </c:pt>
                <c:pt idx="4">
                  <c:v>0.2</c:v>
                </c:pt>
                <c:pt idx="5">
                  <c:v>0.3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0.2</c:v>
                </c:pt>
                <c:pt idx="10">
                  <c:v>0.1</c:v>
                </c:pt>
                <c:pt idx="11">
                  <c:v>0.8</c:v>
                </c:pt>
                <c:pt idx="12">
                  <c:v>0.9</c:v>
                </c:pt>
                <c:pt idx="13">
                  <c:v>0.7</c:v>
                </c:pt>
                <c:pt idx="14">
                  <c:v>0.2</c:v>
                </c:pt>
                <c:pt idx="15">
                  <c:v>-0.1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9881728"/>
        <c:axId val="99883264"/>
      </c:lineChart>
      <c:dateAx>
        <c:axId val="99881728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99883264"/>
        <c:crossesAt val="0"/>
        <c:auto val="0"/>
        <c:lblOffset val="100"/>
        <c:baseTimeUnit val="days"/>
      </c:dateAx>
      <c:valAx>
        <c:axId val="99883264"/>
        <c:scaling>
          <c:orientation val="minMax"/>
          <c:max val="1.2000000000000011"/>
          <c:min val="-0.60000000000000064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99881728"/>
        <c:crossesAt val="1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3.6712576468564982E-2"/>
                  <c:y val="-5.0308122147017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582361892379667E-2"/>
                  <c:y val="-2.53560081061207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1868673319845786E-2"/>
                  <c:y val="-3.02642485328735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752239170816606E-2"/>
                  <c:y val="-2.56076702090935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2107876545614117E-2"/>
                  <c:y val="-3.98909963796632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7613921579997982E-2"/>
                  <c:y val="-4.01310468286410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4265991626910811E-2"/>
                  <c:y val="-4.14095702817566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9124135916658552E-2"/>
                  <c:y val="-4.13391311191563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0799351293540451E-2"/>
                  <c:y val="-4.29146042134211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5171685056822242E-2"/>
                  <c:y val="-4.6167528381997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4.7093168327618409E-2"/>
                  <c:y val="-4.08677353106953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1.220068406146166E-2"/>
                  <c:y val="2.37739815929024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6.5232238436694248E-2"/>
                  <c:y val="-2.08527958778087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3.5248611708236344E-2"/>
                  <c:y val="-4.1250777689146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1.8696300218557598E-2"/>
                  <c:y val="-3.96854527759845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889246059500914E-2"/>
                      <c:h val="5.7450489075958532E-2"/>
                    </c:manualLayout>
                  </c15:layout>
                </c:ext>
              </c:extLst>
            </c:dLbl>
            <c:dLbl>
              <c:idx val="15"/>
              <c:layout>
                <c:manualLayout>
                  <c:x val="-1.0512397881822701E-2"/>
                  <c:y val="2.66198850482801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1.5974528532941464E-2"/>
                  <c:y val="2.31469713752696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4.1914670585353905E-2"/>
                  <c:y val="-4.23366175013117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4.164011868509418E-2"/>
                  <c:y val="-4.94066358024691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3519862845946609E-2"/>
                  <c:y val="-4.98486173458481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2.5646131022097288E-2"/>
                  <c:y val="-4.44528530346602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5278363395018442E-2"/>
                  <c:y val="2.8217978395061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0333682179759566E-3"/>
                  <c:y val="-3.53182340532497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1.0334949791819741E-2"/>
                  <c:y val="1.6596513729376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1.276433994611805E-2"/>
                  <c:y val="1.38879496298023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7.2784826812853837E-2"/>
                  <c:y val="-2.212248497510038E-2"/>
                </c:manualLayout>
              </c:layout>
              <c:spPr/>
              <c:txPr>
                <a:bodyPr anchor="t" anchorCtr="0"/>
                <a:lstStyle/>
                <a:p>
                  <a:pPr algn="ctr" rtl="0">
                    <a:defRPr lang="en-US" sz="800" b="0" i="0" u="none" strike="noStrike" kern="1200" baseline="0">
                      <a:solidFill>
                        <a:sysClr val="windowText" lastClr="000000"/>
                      </a:solidFill>
                      <a:latin typeface="Fira Sans" pitchFamily="34" charset="0"/>
                      <a:ea typeface="Fira Sans" pitchFamily="34" charset="0"/>
                      <a:cs typeface="+mn-cs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961411244358282E-2"/>
                      <c:h val="5.713281828994788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2.8956234871554618E-2"/>
                  <c:y val="-3.61361882716049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(+FE)'!$B$38:$B$53</c:f>
              <c:strCache>
                <c:ptCount val="1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</c:strCache>
            </c:strRef>
          </c:cat>
          <c:val>
            <c:numRef>
              <c:f>'M-12 (+FE)'!$C$38:$C$53</c:f>
              <c:numCache>
                <c:formatCode>0.0</c:formatCode>
                <c:ptCount val="16"/>
                <c:pt idx="0">
                  <c:v>0.7</c:v>
                </c:pt>
                <c:pt idx="1">
                  <c:v>1.2</c:v>
                </c:pt>
                <c:pt idx="2">
                  <c:v>1.7</c:v>
                </c:pt>
                <c:pt idx="3">
                  <c:v>2.2000000000000002</c:v>
                </c:pt>
                <c:pt idx="4">
                  <c:v>2.4</c:v>
                </c:pt>
                <c:pt idx="5">
                  <c:v>2.6</c:v>
                </c:pt>
                <c:pt idx="6">
                  <c:v>2.9</c:v>
                </c:pt>
                <c:pt idx="7">
                  <c:v>2.9</c:v>
                </c:pt>
                <c:pt idx="8">
                  <c:v>2.6</c:v>
                </c:pt>
                <c:pt idx="9">
                  <c:v>2.5</c:v>
                </c:pt>
                <c:pt idx="10">
                  <c:v>2.6</c:v>
                </c:pt>
                <c:pt idx="11">
                  <c:v>3.4</c:v>
                </c:pt>
                <c:pt idx="12">
                  <c:v>4.3</c:v>
                </c:pt>
                <c:pt idx="13">
                  <c:v>4.7</c:v>
                </c:pt>
                <c:pt idx="14">
                  <c:v>4.5999999999999996</c:v>
                </c:pt>
                <c:pt idx="15">
                  <c:v>3.4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9971840"/>
        <c:axId val="99973376"/>
      </c:lineChart>
      <c:dateAx>
        <c:axId val="99971840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99973376"/>
        <c:crossesAt val="0"/>
        <c:auto val="0"/>
        <c:lblOffset val="100"/>
        <c:baseTimeUnit val="days"/>
      </c:dateAx>
      <c:valAx>
        <c:axId val="99973376"/>
        <c:scaling>
          <c:orientation val="minMax"/>
          <c:max val="5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99971840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03308106031142E-2"/>
          <c:y val="5.2791985907422512E-2"/>
          <c:w val="0.86402212918953414"/>
          <c:h val="0.80215749189155816"/>
        </c:manualLayout>
      </c:layout>
      <c:lineChart>
        <c:grouping val="standard"/>
        <c:varyColors val="0"/>
        <c:ser>
          <c:idx val="0"/>
          <c:order val="0"/>
          <c:tx>
            <c:strRef>
              <c:f>'CPI_HICP m-12'!$B$2:$C$2</c:f>
              <c:strCache>
                <c:ptCount val="1"/>
                <c:pt idx="0">
                  <c:v>CPI</c:v>
                </c:pt>
              </c:strCache>
            </c:strRef>
          </c:tx>
          <c:spPr>
            <a:ln w="19050"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'CPI_HICP m-12'!$B$39:$B$54</c:f>
              <c:strCache>
                <c:ptCount val="1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</c:strCache>
            </c:strRef>
          </c:cat>
          <c:val>
            <c:numRef>
              <c:f>'CPI_HICP m-12'!$C$39:$C$54</c:f>
              <c:numCache>
                <c:formatCode>0.0</c:formatCode>
                <c:ptCount val="16"/>
                <c:pt idx="0">
                  <c:v>0.7</c:v>
                </c:pt>
                <c:pt idx="1">
                  <c:v>1.2</c:v>
                </c:pt>
                <c:pt idx="2">
                  <c:v>1.7</c:v>
                </c:pt>
                <c:pt idx="3">
                  <c:v>2.2000000000000002</c:v>
                </c:pt>
                <c:pt idx="4">
                  <c:v>2.4</c:v>
                </c:pt>
                <c:pt idx="5">
                  <c:v>2.6</c:v>
                </c:pt>
                <c:pt idx="6">
                  <c:v>2.9</c:v>
                </c:pt>
                <c:pt idx="7">
                  <c:v>2.9</c:v>
                </c:pt>
                <c:pt idx="8">
                  <c:v>2.6</c:v>
                </c:pt>
                <c:pt idx="9">
                  <c:v>2.5</c:v>
                </c:pt>
                <c:pt idx="10">
                  <c:v>2.6</c:v>
                </c:pt>
                <c:pt idx="11">
                  <c:v>3.4</c:v>
                </c:pt>
                <c:pt idx="12">
                  <c:v>4.3</c:v>
                </c:pt>
                <c:pt idx="13">
                  <c:v>4.7</c:v>
                </c:pt>
                <c:pt idx="14">
                  <c:v>4.5999999999999996</c:v>
                </c:pt>
                <c:pt idx="15">
                  <c:v>3.4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'CPI_HICP m-12'!$D$2:$E$2</c:f>
              <c:strCache>
                <c:ptCount val="1"/>
                <c:pt idx="0">
                  <c:v>HICP</c:v>
                </c:pt>
              </c:strCache>
            </c:strRef>
          </c:tx>
          <c:spPr>
            <a:ln w="19050">
              <a:solidFill>
                <a:srgbClr val="99A5C9"/>
              </a:solidFill>
            </a:ln>
          </c:spPr>
          <c:marker>
            <c:symbol val="none"/>
          </c:marker>
          <c:cat>
            <c:strRef>
              <c:f>'CPI_HICP m-12'!$B$39:$B$54</c:f>
              <c:strCache>
                <c:ptCount val="1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</c:strCache>
            </c:strRef>
          </c:cat>
          <c:val>
            <c:numRef>
              <c:f>'CPI_HICP m-12'!$E$39:$E$53</c:f>
              <c:numCache>
                <c:formatCode>0.0</c:formatCode>
                <c:ptCount val="15"/>
                <c:pt idx="0">
                  <c:v>0.6</c:v>
                </c:pt>
                <c:pt idx="1">
                  <c:v>1.3</c:v>
                </c:pt>
                <c:pt idx="2">
                  <c:v>1.7</c:v>
                </c:pt>
                <c:pt idx="3">
                  <c:v>2.1</c:v>
                </c:pt>
                <c:pt idx="4">
                  <c:v>2.2000000000000002</c:v>
                </c:pt>
                <c:pt idx="5">
                  <c:v>2.2999999999999998</c:v>
                </c:pt>
                <c:pt idx="6">
                  <c:v>2.5</c:v>
                </c:pt>
                <c:pt idx="7">
                  <c:v>2.6</c:v>
                </c:pt>
                <c:pt idx="8">
                  <c:v>2.4</c:v>
                </c:pt>
                <c:pt idx="9">
                  <c:v>2.2999999999999998</c:v>
                </c:pt>
                <c:pt idx="10">
                  <c:v>2.4</c:v>
                </c:pt>
                <c:pt idx="11">
                  <c:v>3</c:v>
                </c:pt>
                <c:pt idx="12">
                  <c:v>3.8</c:v>
                </c:pt>
                <c:pt idx="13">
                  <c:v>4.0999999999999996</c:v>
                </c:pt>
                <c:pt idx="14">
                  <c:v>3.9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212096"/>
        <c:axId val="100226176"/>
      </c:lineChart>
      <c:catAx>
        <c:axId val="100212096"/>
        <c:scaling>
          <c:orientation val="minMax"/>
        </c:scaling>
        <c:delete val="0"/>
        <c:axPos val="b"/>
        <c:numFmt formatCode="d/mm" sourceLinked="0"/>
        <c:majorTickMark val="out"/>
        <c:minorTickMark val="none"/>
        <c:tickLblPos val="low"/>
        <c:spPr>
          <a:ln w="3175">
            <a:solidFill>
              <a:schemeClr val="bg1">
                <a:lumMod val="5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en-US"/>
          </a:p>
        </c:txPr>
        <c:crossAx val="100226176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00226176"/>
        <c:scaling>
          <c:orientation val="minMax"/>
          <c:max val="5"/>
          <c:min val="0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en-US"/>
          </a:p>
        </c:txPr>
        <c:crossAx val="100212096"/>
        <c:crosses val="autoZero"/>
        <c:crossBetween val="between"/>
        <c:majorUnit val="1"/>
        <c:minorUnit val="0.1"/>
      </c:valAx>
      <c:spPr>
        <a:noFill/>
        <a:ln w="3175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81721195226201038"/>
          <c:y val="0.62004718436744077"/>
          <c:w val="0.11602738896666102"/>
          <c:h val="0.14737378640231696"/>
        </c:manualLayout>
      </c:layout>
      <c:overlay val="0"/>
      <c:spPr>
        <a:noFill/>
        <a:ln w="38100">
          <a:noFill/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itchFamily="34" charset="0"/>
              <a:ea typeface="Fira Sans" pitchFamily="34" charset="0"/>
              <a:cs typeface="Arial CE"/>
            </a:defRPr>
          </a:pPr>
          <a:endParaRPr lang="en-US"/>
        </a:p>
      </c:txPr>
    </c:legend>
    <c:plotVisOnly val="0"/>
    <c:dispBlanksAs val="gap"/>
    <c:showDLblsOverMax val="0"/>
  </c:chart>
  <c:spPr>
    <a:noFill/>
    <a:ln w="9525">
      <a:noFill/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0.71483</cdr:x>
      <cdr:y>0.87129</cdr:y>
    </cdr:from>
    <cdr:to>
      <cdr:x>0.71526</cdr:x>
      <cdr:y>0.94776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H="1" flipV="1">
          <a:off x="3680054" y="2185523"/>
          <a:ext cx="2213" cy="191816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endParaRPr lang="pl-PL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0.06988</cdr:x>
      <cdr:y>0.93898</cdr:y>
    </cdr:from>
    <cdr:to>
      <cdr:x>0.64722</cdr:x>
      <cdr:y>0.99323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58042" y="2444751"/>
          <a:ext cx="2958124" cy="1412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0.06721</cdr:x>
      <cdr:y>0.9279</cdr:y>
    </cdr:from>
    <cdr:to>
      <cdr:x>0.48735</cdr:x>
      <cdr:y>0.99268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4362" y="2371725"/>
          <a:ext cx="2152654" cy="1655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0.09153</cdr:x>
      <cdr:y>0.93613</cdr:y>
    </cdr:from>
    <cdr:to>
      <cdr:x>0.71512</cdr:x>
      <cdr:y>0.99849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468867" y="2382526"/>
          <a:ext cx="3194342" cy="1587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0.71402</cdr:x>
      <cdr:y>0.93714</cdr:y>
    </cdr:from>
    <cdr:to>
      <cdr:x>0.92428</cdr:x>
      <cdr:y>0.99849</cdr:y>
    </cdr:to>
    <cdr:sp macro="" textlink="">
      <cdr:nvSpPr>
        <cdr:cNvPr id="56" name="pole tekstowe 1"/>
        <cdr:cNvSpPr txBox="1"/>
      </cdr:nvSpPr>
      <cdr:spPr>
        <a:xfrm xmlns:a="http://schemas.openxmlformats.org/drawingml/2006/main">
          <a:off x="3657599" y="2385106"/>
          <a:ext cx="1077085" cy="1561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0.09502</cdr:x>
      <cdr:y>0.93504</cdr:y>
    </cdr:from>
    <cdr:to>
      <cdr:x>0.44296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485657" y="2412651"/>
          <a:ext cx="1778364" cy="1676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0.06639</cdr:x>
      <cdr:y>0.93049</cdr:y>
    </cdr:from>
    <cdr:to>
      <cdr:x>0.46539</cdr:x>
      <cdr:y>0.99633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1169" y="2389435"/>
          <a:ext cx="2050416" cy="1690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0.06595</cdr:x>
      <cdr:y>0.45677</cdr:y>
    </cdr:from>
    <cdr:to>
      <cdr:x>0.92602</cdr:x>
      <cdr:y>0.45679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38518" y="1173355"/>
          <a:ext cx="4414515" cy="5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0.067</cdr:x>
      <cdr:y>0.62029</cdr:y>
    </cdr:from>
    <cdr:to>
      <cdr:x>0.92803</cdr:x>
      <cdr:y>0.62057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43211" y="1590114"/>
          <a:ext cx="4410664" cy="718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0.0679</cdr:x>
      <cdr:y>0.29324</cdr:y>
    </cdr:from>
    <cdr:to>
      <cdr:x>0.92428</cdr:x>
      <cdr:y>0.29543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47808" y="751715"/>
          <a:ext cx="4386877" cy="5609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0.72935</cdr:x>
      <cdr:y>0.38439</cdr:y>
    </cdr:from>
    <cdr:to>
      <cdr:x>0.91959</cdr:x>
      <cdr:y>0.47269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736148" y="985373"/>
          <a:ext cx="974513" cy="2263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700" b="0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0.2586</cdr:x>
      <cdr:y>0.22812</cdr:y>
    </cdr:from>
    <cdr:to>
      <cdr:x>0.54099</cdr:x>
      <cdr:y>0.30856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1324698" y="584793"/>
          <a:ext cx="1446551" cy="2061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0.08194</cdr:x>
      <cdr:y>0.93661</cdr:y>
    </cdr:from>
    <cdr:to>
      <cdr:x>0.70988</cdr:x>
      <cdr:y>0.99515</cdr:y>
    </cdr:to>
    <cdr:sp macro="" textlink="">
      <cdr:nvSpPr>
        <cdr:cNvPr id="21" name="pole tekstowe 1"/>
        <cdr:cNvSpPr txBox="1"/>
      </cdr:nvSpPr>
      <cdr:spPr>
        <a:xfrm xmlns:a="http://schemas.openxmlformats.org/drawingml/2006/main">
          <a:off x="419741" y="2401001"/>
          <a:ext cx="3216651" cy="1500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0.71768</cdr:x>
      <cdr:y>0.93049</cdr:y>
    </cdr:from>
    <cdr:to>
      <cdr:x>0.9278</cdr:x>
      <cdr:y>0.9928</cdr:y>
    </cdr:to>
    <cdr:sp macro="" textlink="">
      <cdr:nvSpPr>
        <cdr:cNvPr id="22" name="pole tekstowe 1"/>
        <cdr:cNvSpPr txBox="1"/>
      </cdr:nvSpPr>
      <cdr:spPr>
        <a:xfrm xmlns:a="http://schemas.openxmlformats.org/drawingml/2006/main">
          <a:off x="3651453" y="2364561"/>
          <a:ext cx="1069078" cy="158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0.71258</cdr:x>
      <cdr:y>0.86915</cdr:y>
    </cdr:from>
    <cdr:to>
      <cdr:x>0.71292</cdr:x>
      <cdr:y>0.95286</cdr:y>
    </cdr:to>
    <cdr:sp macro="" textlink="">
      <cdr:nvSpPr>
        <cdr:cNvPr id="23" name="Łącznik prosty 22"/>
        <cdr:cNvSpPr/>
      </cdr:nvSpPr>
      <cdr:spPr bwMode="auto">
        <a:xfrm xmlns:a="http://schemas.openxmlformats.org/drawingml/2006/main" flipH="1" flipV="1">
          <a:off x="3650198" y="2228053"/>
          <a:ext cx="1742" cy="21459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0.34299</cdr:x>
      <cdr:y>0.63309</cdr:y>
    </cdr:from>
    <cdr:to>
      <cdr:x>0.62538</cdr:x>
      <cdr:y>0.71352</cdr:y>
    </cdr:to>
    <cdr:sp macro="" textlink="">
      <cdr:nvSpPr>
        <cdr:cNvPr id="27" name="pole tekstowe 1"/>
        <cdr:cNvSpPr txBox="1"/>
      </cdr:nvSpPr>
      <cdr:spPr>
        <a:xfrm xmlns:a="http://schemas.openxmlformats.org/drawingml/2006/main">
          <a:off x="1756965" y="1622920"/>
          <a:ext cx="1446551" cy="206192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0.2597</cdr:x>
      <cdr:y>0.61327</cdr:y>
    </cdr:from>
    <cdr:to>
      <cdr:x>0.54209</cdr:x>
      <cdr:y>0.69371</cdr:y>
    </cdr:to>
    <cdr:sp macro="" textlink="">
      <cdr:nvSpPr>
        <cdr:cNvPr id="28" name="pole tekstowe 1"/>
        <cdr:cNvSpPr txBox="1"/>
      </cdr:nvSpPr>
      <cdr:spPr>
        <a:xfrm xmlns:a="http://schemas.openxmlformats.org/drawingml/2006/main">
          <a:off x="1330308" y="1572121"/>
          <a:ext cx="1446551" cy="2061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0.06337</cdr:x>
      <cdr:y>0.0639</cdr:y>
    </cdr:from>
    <cdr:to>
      <cdr:x>0.12174</cdr:x>
      <cdr:y>0.18421</cdr:y>
    </cdr:to>
    <cdr:sp macro="" textlink="">
      <cdr:nvSpPr>
        <cdr:cNvPr id="135168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736" y="165552"/>
          <a:ext cx="299115" cy="3116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  <cdr:relSizeAnchor xmlns:cdr="http://schemas.openxmlformats.org/drawingml/2006/chartDrawing">
    <cdr:from>
      <cdr:x>0.0649</cdr:x>
      <cdr:y>0.92017</cdr:y>
    </cdr:from>
    <cdr:to>
      <cdr:x>0.55999</cdr:x>
      <cdr:y>0.9836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333375" y="2333624"/>
          <a:ext cx="2543175" cy="160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0.08308</cdr:x>
      <cdr:y>0.92137</cdr:y>
    </cdr:from>
    <cdr:to>
      <cdr:x>0.45083</cdr:x>
      <cdr:y>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424455" y="2372591"/>
          <a:ext cx="1878863" cy="2024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0.36434</cdr:x>
      <cdr:y>0.92017</cdr:y>
    </cdr:from>
    <cdr:to>
      <cdr:x>0.83054</cdr:x>
      <cdr:y>0.99874</cdr:y>
    </cdr:to>
    <cdr:sp macro="" textlink="">
      <cdr:nvSpPr>
        <cdr:cNvPr id="8" name="pole tekstowe 1"/>
        <cdr:cNvSpPr txBox="1"/>
      </cdr:nvSpPr>
      <cdr:spPr>
        <a:xfrm xmlns:a="http://schemas.openxmlformats.org/drawingml/2006/main">
          <a:off x="1866348" y="2310938"/>
          <a:ext cx="2388152" cy="1973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2019                                                                               2020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0.71383</cdr:x>
      <cdr:y>0.86203</cdr:y>
    </cdr:from>
    <cdr:to>
      <cdr:x>0.7141</cdr:x>
      <cdr:y>0.93664</cdr:y>
    </cdr:to>
    <cdr:sp macro="" textlink="">
      <cdr:nvSpPr>
        <cdr:cNvPr id="9" name="Łącznik prosty 8"/>
        <cdr:cNvSpPr/>
      </cdr:nvSpPr>
      <cdr:spPr bwMode="auto">
        <a:xfrm xmlns:a="http://schemas.openxmlformats.org/drawingml/2006/main" flipH="1" flipV="1">
          <a:off x="3682362" y="2179880"/>
          <a:ext cx="1392" cy="18867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0d47203-49ec-4c8c-a442-62231931aa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284EA-C3F8-4BB6-B0B6-C2155128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8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2020-05-15T05:48:00Z</cp:lastPrinted>
  <dcterms:created xsi:type="dcterms:W3CDTF">2020-04-15T05:04:00Z</dcterms:created>
  <dcterms:modified xsi:type="dcterms:W3CDTF">2020-05-15T05:49:00Z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