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502F8C" w:rsidRDefault="00685123" w:rsidP="00685123">
      <w:pPr>
        <w:pStyle w:val="tytuinformacji"/>
      </w:pPr>
      <w:r w:rsidRPr="00502F8C">
        <w:t>Wskaźniki cen towarów i usług konsumpcyjnych w </w:t>
      </w:r>
      <w:r w:rsidR="0026302B" w:rsidRPr="00502F8C">
        <w:t>marcu</w:t>
      </w:r>
      <w:r w:rsidR="00B37F5A">
        <w:t xml:space="preserve"> 2020</w:t>
      </w:r>
      <w:r w:rsidR="00EE696D" w:rsidRPr="00502F8C">
        <w:t xml:space="preserve"> r.</w:t>
      </w:r>
    </w:p>
    <w:p w:rsidR="00AD4947" w:rsidRPr="00502F8C" w:rsidRDefault="00AD4947" w:rsidP="00AD4947">
      <w:pPr>
        <w:pStyle w:val="tytuinformacji"/>
        <w:rPr>
          <w:sz w:val="32"/>
        </w:rPr>
      </w:pPr>
      <w:bookmarkStart w:id="0" w:name="_GoBack"/>
      <w:bookmarkEnd w:id="0"/>
    </w:p>
    <w:p w:rsidR="00B37F5A" w:rsidRPr="005C5EF8" w:rsidRDefault="009E3F12" w:rsidP="00B37F5A">
      <w:pPr>
        <w:pStyle w:val="LID"/>
        <w:spacing w:after="0"/>
        <w:rPr>
          <w:lang w:eastAsia="en-GB"/>
        </w:rPr>
      </w:pPr>
      <w: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C61925D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A80" w:rsidRPr="00D538E4" w:rsidRDefault="00B50A80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6CF665E" wp14:editId="5D96C74A">
                                  <wp:extent cx="334645" cy="334645"/>
                                  <wp:effectExtent l="19050" t="0" r="8255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6%</w:t>
                            </w:r>
                          </w:p>
                          <w:p w:rsidR="00B50A80" w:rsidRDefault="00B50A80" w:rsidP="00B37F5A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50A80" w:rsidRDefault="00B50A80" w:rsidP="00B37F5A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B50A80" w:rsidRPr="00D538E4" w:rsidRDefault="00B50A80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192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B50A80" w:rsidRPr="00D538E4" w:rsidRDefault="00B50A80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6CF665E" wp14:editId="5D96C74A">
                            <wp:extent cx="334645" cy="334645"/>
                            <wp:effectExtent l="19050" t="0" r="8255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6%</w:t>
                      </w:r>
                    </w:p>
                    <w:p w:rsidR="00B50A80" w:rsidRDefault="00B50A80" w:rsidP="00B37F5A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50A80" w:rsidRDefault="00B50A80" w:rsidP="00B37F5A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B50A80" w:rsidRPr="00D538E4" w:rsidRDefault="00B50A80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5C5EF8">
        <w:rPr>
          <w:lang w:eastAsia="en-GB"/>
        </w:rPr>
        <w:t xml:space="preserve">Ceny towarów i </w:t>
      </w:r>
      <w:r w:rsidR="00B50A80">
        <w:rPr>
          <w:lang w:eastAsia="en-GB"/>
        </w:rPr>
        <w:t xml:space="preserve">usług konsumpcyjnych w marcu </w:t>
      </w:r>
      <w:r w:rsidR="00B37F5A" w:rsidRPr="005C5EF8">
        <w:rPr>
          <w:lang w:eastAsia="en-GB"/>
        </w:rPr>
        <w:t>2020 r. w porównaniu z analogicznym miesiącem ub. roku wzrosły o 4,6% (przy wzroście ce</w:t>
      </w:r>
      <w:r w:rsidR="005C5EF8" w:rsidRPr="005C5EF8">
        <w:rPr>
          <w:lang w:eastAsia="en-GB"/>
        </w:rPr>
        <w:t>n usług – o 6,5% i</w:t>
      </w:r>
      <w:r w:rsidR="005C5EF8">
        <w:rPr>
          <w:lang w:eastAsia="en-GB"/>
        </w:rPr>
        <w:t> </w:t>
      </w:r>
      <w:r w:rsidR="00B37F5A" w:rsidRPr="005C5EF8">
        <w:rPr>
          <w:lang w:eastAsia="en-GB"/>
        </w:rPr>
        <w:t>towarów – o 3,8%).</w:t>
      </w:r>
    </w:p>
    <w:p w:rsidR="00B37F5A" w:rsidRPr="005C5EF8" w:rsidRDefault="00B37F5A" w:rsidP="00B37F5A">
      <w:pPr>
        <w:pStyle w:val="LID"/>
        <w:spacing w:before="0" w:after="0"/>
        <w:rPr>
          <w:lang w:eastAsia="en-GB"/>
        </w:rPr>
      </w:pPr>
      <w:r w:rsidRPr="005C5EF8">
        <w:rPr>
          <w:lang w:eastAsia="en-GB"/>
        </w:rPr>
        <w:t>W stosunku do poprzedniego miesiąca ce</w:t>
      </w:r>
      <w:r w:rsidR="005C5EF8">
        <w:rPr>
          <w:lang w:eastAsia="en-GB"/>
        </w:rPr>
        <w:t>ny towarów i </w:t>
      </w:r>
      <w:r w:rsidRPr="005C5EF8">
        <w:rPr>
          <w:lang w:eastAsia="en-GB"/>
        </w:rPr>
        <w:t>usług wzrosły o 0,2% (przy wzroście cen usług</w:t>
      </w:r>
    </w:p>
    <w:p w:rsidR="00370D51" w:rsidRPr="00CF031B" w:rsidRDefault="00B37F5A" w:rsidP="00B37F5A">
      <w:pPr>
        <w:pStyle w:val="LID"/>
        <w:spacing w:before="0" w:after="0"/>
        <w:rPr>
          <w:lang w:eastAsia="en-GB"/>
        </w:rPr>
      </w:pPr>
      <w:r w:rsidRPr="00CF031B">
        <w:rPr>
          <w:lang w:eastAsia="en-GB"/>
        </w:rPr>
        <w:t>– o 0,3% i towarów o 0,2%).</w:t>
      </w:r>
    </w:p>
    <w:p w:rsidR="00370D51" w:rsidRDefault="00370D51" w:rsidP="00370D51">
      <w:pPr>
        <w:pStyle w:val="LID"/>
        <w:spacing w:before="0" w:after="0"/>
      </w:pPr>
    </w:p>
    <w:p w:rsidR="00370D51" w:rsidRDefault="00370D51" w:rsidP="00370D51">
      <w:pPr>
        <w:pStyle w:val="LID"/>
        <w:spacing w:before="0" w:after="0"/>
      </w:pPr>
    </w:p>
    <w:p w:rsidR="009E3F12" w:rsidRDefault="009E3F12" w:rsidP="009E3F12"/>
    <w:p w:rsidR="009E3F12" w:rsidRPr="00F90E8B" w:rsidRDefault="009E3F12" w:rsidP="009E3F12">
      <w:r w:rsidRPr="00F90E8B">
        <w:t xml:space="preserve">W wyniku wprowadzonych stopniowo w ciągu ostatnich tygodni ograniczeń w handlu i przemieszczaniu się osób, mających na celu przeciwdziałanie rozprzestrzenianiu się </w:t>
      </w:r>
      <w:proofErr w:type="spellStart"/>
      <w:r w:rsidRPr="00F90E8B">
        <w:t>koronawirusa</w:t>
      </w:r>
      <w:proofErr w:type="spellEnd"/>
      <w:r w:rsidRPr="00F90E8B">
        <w:t>, zamknięto wiele sklepów i punktów świadczących usługi osobiste. Wstrzymano organizację imprez kulturalnych i sportowych. Usługi w zakresie podróży i zakwaterowania zostały znacznie ograniczone. Zmiany te istotnie wpłynęły na możliwości gromadzenia danych o cenach</w:t>
      </w:r>
      <w:r>
        <w:t xml:space="preserve"> detalicznych</w:t>
      </w:r>
      <w:r w:rsidRPr="00F90E8B">
        <w:t xml:space="preserve">. </w:t>
      </w:r>
    </w:p>
    <w:p w:rsidR="009E3F12" w:rsidRDefault="009E3F12" w:rsidP="009E3F12">
      <w:r w:rsidRPr="00F90E8B">
        <w:t>Główne problemy dotyczą badania realizowanego w terenie. W marcu br., znaczną część informacji o cenach udało się jednak zgromadzić w okresie, kiedy sprzedaż odbywała się jeszcze w niezmienionych warunkach. Brakujące dane były uzupełniane przez ankieterów przede wszystkim drogą zdalną – mailową, telefoniczną, poprzez strony internetowe</w:t>
      </w:r>
      <w:r>
        <w:t>. Ceny, które nie mogły zostać zebrane za pośrednictwem tych metod, zostały wyszacowane zgodnie z obowiązującymi procedurami metodologicznymi i wytycznymi Eurostatu w tym zakresie. Największy udział brakujących obserwacji wymagających imputacji odn</w:t>
      </w:r>
      <w:r w:rsidR="00DA5DA2">
        <w:t>otowano w przypadku rekreacji i </w:t>
      </w:r>
      <w:r>
        <w:t xml:space="preserve">kultury, zwłaszcza w zakresie turystki zorganizowanej za granicą, transportu, zdrowia, odzieży i obuwia oraz niektórych produktów w dziale żywność i napoje </w:t>
      </w:r>
      <w:r w:rsidR="006C640E">
        <w:t>bez</w:t>
      </w:r>
      <w:r>
        <w:t>alkoholowe.</w:t>
      </w:r>
    </w:p>
    <w:p w:rsidR="009E3F12" w:rsidRDefault="009E3F12" w:rsidP="009E3F12">
      <w:r w:rsidRPr="0089379A">
        <w:t xml:space="preserve">W przypadku utrzymania </w:t>
      </w:r>
      <w:r>
        <w:t xml:space="preserve">dalszego obowiązywania ograniczeń w handlu detalicznym należy oczekiwać, że liczba brakujących notowań cen w kwietniu będzie istotnie wyższa niż w marcu br. Wzrost udziału brakujących obserwacji wymagać będzie specjalnego podejścia do szacowania cen towarów i usług. W obliczeniach będą miały zastosowanie wypracowane przez Eurostat we współpracy z krajami UE zasady obliczania </w:t>
      </w:r>
      <w:r w:rsidR="004C4610">
        <w:t>wskaźników cen konsumpcyjnych w </w:t>
      </w:r>
      <w:r>
        <w:t>okresie kryzysu związanego z COVID-19.</w:t>
      </w:r>
      <w:r>
        <w:rPr>
          <w:rStyle w:val="Odwoanieprzypisudolnego"/>
        </w:rPr>
        <w:footnoteReference w:id="1"/>
      </w:r>
    </w:p>
    <w:p w:rsidR="009E3F12" w:rsidRDefault="009E3F12" w:rsidP="009E3F12"/>
    <w:p w:rsidR="009E3F12" w:rsidRDefault="009E3F12" w:rsidP="009E3F12">
      <w:pPr>
        <w:spacing w:before="0" w:after="0"/>
        <w:rPr>
          <w:highlight w:val="yellow"/>
        </w:rPr>
      </w:pPr>
    </w:p>
    <w:p w:rsidR="009E3F12" w:rsidRPr="00502F8C" w:rsidRDefault="009E3F12" w:rsidP="009E3F12">
      <w:pPr>
        <w:spacing w:before="0" w:after="0"/>
        <w:rPr>
          <w:highlight w:val="yellow"/>
        </w:rPr>
      </w:pPr>
    </w:p>
    <w:p w:rsidR="00CF08EF" w:rsidRDefault="00CF08EF" w:rsidP="00A55B73">
      <w:pPr>
        <w:spacing w:before="0" w:after="0"/>
        <w:rPr>
          <w:highlight w:val="yellow"/>
        </w:rPr>
      </w:pPr>
    </w:p>
    <w:p w:rsidR="009E3F12" w:rsidRDefault="009E3F12" w:rsidP="00A55B73">
      <w:pPr>
        <w:spacing w:before="0" w:after="0"/>
        <w:rPr>
          <w:highlight w:val="yellow"/>
        </w:rPr>
      </w:pPr>
    </w:p>
    <w:p w:rsidR="009E3F12" w:rsidRDefault="009E3F12" w:rsidP="00A55B73">
      <w:pPr>
        <w:spacing w:before="0" w:after="0"/>
        <w:rPr>
          <w:highlight w:val="yellow"/>
        </w:rPr>
      </w:pPr>
    </w:p>
    <w:p w:rsidR="009E3F12" w:rsidRDefault="009E3F12" w:rsidP="00A55B73">
      <w:pPr>
        <w:spacing w:before="0" w:after="0"/>
        <w:rPr>
          <w:highlight w:val="yellow"/>
        </w:rPr>
      </w:pPr>
    </w:p>
    <w:p w:rsidR="009E3F12" w:rsidRPr="00502F8C" w:rsidRDefault="009E3F12" w:rsidP="00A55B73">
      <w:pPr>
        <w:spacing w:before="0" w:after="0"/>
        <w:rPr>
          <w:highlight w:val="yellow"/>
        </w:rPr>
      </w:pPr>
    </w:p>
    <w:tbl>
      <w:tblPr>
        <w:tblStyle w:val="Siatkatabelijasna11"/>
        <w:tblpPr w:leftFromText="141" w:rightFromText="141" w:vertAnchor="text" w:horzAnchor="margin" w:tblpY="675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01"/>
        <w:gridCol w:w="878"/>
        <w:gridCol w:w="878"/>
        <w:gridCol w:w="877"/>
        <w:gridCol w:w="877"/>
        <w:gridCol w:w="879"/>
        <w:gridCol w:w="878"/>
      </w:tblGrid>
      <w:tr w:rsidR="005A2784" w:rsidRPr="00502F8C" w:rsidTr="00A55B73">
        <w:trPr>
          <w:cantSplit/>
          <w:trHeight w:val="367"/>
        </w:trPr>
        <w:tc>
          <w:tcPr>
            <w:tcW w:w="2801" w:type="dxa"/>
            <w:vMerge w:val="restart"/>
            <w:vAlign w:val="center"/>
          </w:tcPr>
          <w:p w:rsidR="005A2784" w:rsidRPr="00502F8C" w:rsidRDefault="005A2784" w:rsidP="00A55B7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2633" w:type="dxa"/>
            <w:gridSpan w:val="3"/>
            <w:vAlign w:val="center"/>
          </w:tcPr>
          <w:p w:rsidR="005A2784" w:rsidRPr="00502F8C" w:rsidRDefault="00B37F5A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III 2020</w:t>
            </w:r>
          </w:p>
        </w:tc>
        <w:tc>
          <w:tcPr>
            <w:tcW w:w="1756" w:type="dxa"/>
            <w:gridSpan w:val="2"/>
            <w:vAlign w:val="center"/>
          </w:tcPr>
          <w:p w:rsidR="005A2784" w:rsidRPr="00502F8C" w:rsidRDefault="00B37F5A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I-III 2020</w:t>
            </w:r>
          </w:p>
        </w:tc>
        <w:tc>
          <w:tcPr>
            <w:tcW w:w="878" w:type="dxa"/>
            <w:vMerge w:val="restart"/>
            <w:vAlign w:val="center"/>
          </w:tcPr>
          <w:p w:rsidR="005A2784" w:rsidRPr="00502F8C" w:rsidRDefault="005A2784" w:rsidP="00A55B73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5A2784" w:rsidRPr="00502F8C" w:rsidRDefault="00B37F5A" w:rsidP="00A55B73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II 2020</w:t>
            </w:r>
            <w:r w:rsidR="005A2784"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=</w:t>
            </w:r>
            <w:r w:rsidR="005A2784" w:rsidRPr="00502F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5A2784" w:rsidRPr="00502F8C" w:rsidTr="00A55B73">
        <w:trPr>
          <w:cantSplit/>
          <w:trHeight w:val="57"/>
        </w:trPr>
        <w:tc>
          <w:tcPr>
            <w:tcW w:w="2801" w:type="dxa"/>
            <w:vMerge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A55B73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78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III 201</w:t>
            </w:r>
            <w:r w:rsidR="00B37F5A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8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XII 201</w:t>
            </w:r>
            <w:r w:rsidR="00B37F5A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B37F5A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II 2020</w:t>
            </w:r>
            <w:r w:rsidR="005A2784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5A2784"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877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I-III 201</w:t>
            </w:r>
            <w:r w:rsidR="00B37F5A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79" w:type="dxa"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X-XII 201</w:t>
            </w:r>
            <w:r w:rsidR="00B37F5A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878" w:type="dxa"/>
            <w:vMerge/>
            <w:tcBorders>
              <w:bottom w:val="single" w:sz="12" w:space="0" w:color="212492"/>
            </w:tcBorders>
            <w:vAlign w:val="center"/>
          </w:tcPr>
          <w:p w:rsidR="005A2784" w:rsidRPr="00502F8C" w:rsidRDefault="005A2784" w:rsidP="00A55B73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455A2" w:rsidRPr="00502F8C" w:rsidRDefault="00F455A2" w:rsidP="00A55B73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b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b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b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7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b/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879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78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Ż</w:t>
            </w:r>
            <w:r w:rsidR="00B50A8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ywność i napoje </w:t>
            </w:r>
            <w:r w:rsidR="00B50A8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108,0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107,7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0,21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502F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96,7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94,9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0,12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502F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107,0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0,07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8A7FA1" w:rsidP="00A55B73">
            <w:pPr>
              <w:tabs>
                <w:tab w:val="right" w:leader="dot" w:pos="4156"/>
              </w:tabs>
              <w:spacing w:before="40" w:after="40"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</w:t>
            </w:r>
            <w:r>
              <w:rPr>
                <w:rFonts w:cstheme="majorBidi"/>
                <w:bCs/>
                <w:color w:val="000000" w:themeColor="text1"/>
                <w:sz w:val="16"/>
                <w:szCs w:val="16"/>
              </w:rPr>
              <w:softHyphen/>
            </w:r>
            <w:r w:rsidR="00F455A2"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dzenie gospodarstwa domowego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455A2" w:rsidRPr="00FC303F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C303F" w:rsidRDefault="00F455A2" w:rsidP="00A55B7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FC303F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96,3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-0,24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-0,06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502F8C" w:rsidRDefault="00F455A2" w:rsidP="00A55B7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106,3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877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87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87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455A2" w:rsidRPr="00502F8C" w:rsidTr="00A55B73">
        <w:trPr>
          <w:cantSplit/>
          <w:trHeight w:val="57"/>
        </w:trPr>
        <w:tc>
          <w:tcPr>
            <w:tcW w:w="2801" w:type="dxa"/>
            <w:tcBorders>
              <w:top w:val="single" w:sz="4" w:space="0" w:color="212492"/>
              <w:bottom w:val="nil"/>
            </w:tcBorders>
            <w:vAlign w:val="center"/>
          </w:tcPr>
          <w:p w:rsidR="00F455A2" w:rsidRPr="00502F8C" w:rsidRDefault="00F455A2" w:rsidP="00A55B7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02F8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877" w:type="dxa"/>
            <w:tcBorders>
              <w:top w:val="single" w:sz="4" w:space="0" w:color="212492"/>
              <w:bottom w:val="nil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879" w:type="dxa"/>
            <w:tcBorders>
              <w:top w:val="single" w:sz="4" w:space="0" w:color="212492"/>
              <w:bottom w:val="nil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78" w:type="dxa"/>
            <w:tcBorders>
              <w:top w:val="single" w:sz="4" w:space="0" w:color="212492"/>
              <w:bottom w:val="nil"/>
            </w:tcBorders>
            <w:vAlign w:val="center"/>
          </w:tcPr>
          <w:p w:rsidR="00F455A2" w:rsidRPr="00F455A2" w:rsidRDefault="00F455A2" w:rsidP="00A55B7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455A2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</w:tbl>
    <w:p w:rsidR="00C27D75" w:rsidRDefault="00AD4947" w:rsidP="0022312E">
      <w:pPr>
        <w:pStyle w:val="tytuwykresu"/>
        <w:rPr>
          <w:bCs/>
          <w:shd w:val="clear" w:color="auto" w:fill="FFFFFF"/>
        </w:rPr>
      </w:pPr>
      <w:r w:rsidRPr="00502F8C">
        <w:t>Tablica 1.</w:t>
      </w:r>
      <w:r w:rsidRPr="00502F8C">
        <w:rPr>
          <w:shd w:val="clear" w:color="auto" w:fill="FFFFFF"/>
        </w:rPr>
        <w:t xml:space="preserve"> </w:t>
      </w:r>
      <w:r w:rsidRPr="00502F8C">
        <w:rPr>
          <w:bCs/>
          <w:shd w:val="clear" w:color="auto" w:fill="FFFFFF"/>
        </w:rPr>
        <w:t xml:space="preserve">Wskaźniki cen towarów i usług konsumpcyjnych w </w:t>
      </w:r>
      <w:r w:rsidR="002724FF" w:rsidRPr="00502F8C">
        <w:rPr>
          <w:bCs/>
          <w:shd w:val="clear" w:color="auto" w:fill="FFFFFF"/>
        </w:rPr>
        <w:t>marcu</w:t>
      </w:r>
      <w:r w:rsidR="00B37F5A">
        <w:t xml:space="preserve"> 2020</w:t>
      </w:r>
      <w:r w:rsidRPr="00502F8C">
        <w:t> </w:t>
      </w:r>
      <w:r w:rsidRPr="00502F8C">
        <w:rPr>
          <w:bCs/>
          <w:shd w:val="clear" w:color="auto" w:fill="FFFFFF"/>
        </w:rPr>
        <w:t>r.</w:t>
      </w:r>
    </w:p>
    <w:p w:rsidR="00A55B73" w:rsidRPr="0022312E" w:rsidRDefault="00A55B73" w:rsidP="0022312E">
      <w:pPr>
        <w:pStyle w:val="tytuwykresu"/>
      </w:pPr>
    </w:p>
    <w:p w:rsidR="00A07F00" w:rsidRPr="00F74897" w:rsidRDefault="00292DBF" w:rsidP="00E37F13">
      <w:pPr>
        <w:pStyle w:val="Nagwek1"/>
        <w:spacing w:before="480" w:line="240" w:lineRule="exact"/>
      </w:pPr>
      <w:r>
        <w:rPr>
          <w:shd w:val="clear" w:color="auto" w:fill="FFFFFF"/>
        </w:rPr>
        <w:t>Wpływ</w:t>
      </w:r>
      <w:r w:rsidR="00A07F00" w:rsidRPr="003A0271">
        <w:rPr>
          <w:shd w:val="clear" w:color="auto" w:fill="FFFFFF"/>
        </w:rPr>
        <w:t xml:space="preserve"> zmian cen na </w:t>
      </w:r>
      <w:r w:rsidR="00A07F00" w:rsidRPr="00F74897">
        <w:rPr>
          <w:shd w:val="clear" w:color="auto" w:fill="FFFFFF"/>
        </w:rPr>
        <w:t>wskaźnik</w:t>
      </w:r>
      <w:r w:rsidR="00B97152" w:rsidRPr="00F74897">
        <w:rPr>
          <w:shd w:val="clear" w:color="auto" w:fill="FFFFFF"/>
        </w:rPr>
        <w:t xml:space="preserve"> cen</w:t>
      </w:r>
      <w:r w:rsidR="00A07F00" w:rsidRPr="00F74897">
        <w:rPr>
          <w:shd w:val="clear" w:color="auto" w:fill="FFFFFF"/>
        </w:rPr>
        <w:t xml:space="preserve"> towarów i usług konsumpcyjnych ogółem</w:t>
      </w:r>
    </w:p>
    <w:p w:rsidR="00C23F3B" w:rsidRPr="00C23F3B" w:rsidRDefault="00A07F00" w:rsidP="00C23F3B">
      <w:pPr>
        <w:spacing w:before="0" w:after="0"/>
      </w:pPr>
      <w:r w:rsidRPr="00F74897">
        <w:t xml:space="preserve">W </w:t>
      </w:r>
      <w:r w:rsidR="00F04C11" w:rsidRPr="00F74897">
        <w:t>marcu</w:t>
      </w:r>
      <w:r w:rsidRPr="00F74897">
        <w:t xml:space="preserve"> br. w porównaniu z poprzednim miesiącem największy wpływ na wskaźnik cen </w:t>
      </w:r>
      <w:r w:rsidR="00917CCF" w:rsidRPr="00F74897">
        <w:br/>
      </w:r>
      <w:r w:rsidRPr="00F74897">
        <w:t xml:space="preserve">towarów i usług konsumpcyjnych ogółem miały </w:t>
      </w:r>
      <w:r w:rsidR="003A0271" w:rsidRPr="00F74897">
        <w:t>wyższe</w:t>
      </w:r>
      <w:r w:rsidRPr="00F74897">
        <w:t xml:space="preserve"> ceny</w:t>
      </w:r>
      <w:r w:rsidR="00C662A5">
        <w:t xml:space="preserve"> żywności (</w:t>
      </w:r>
      <w:r w:rsidR="0022312E">
        <w:t xml:space="preserve">o </w:t>
      </w:r>
      <w:r w:rsidR="00C23F3B">
        <w:t>0,9</w:t>
      </w:r>
      <w:r w:rsidR="0022312E">
        <w:t>%)</w:t>
      </w:r>
      <w:r w:rsidR="005112CE">
        <w:t>,</w:t>
      </w:r>
      <w:r w:rsidRPr="00F74897">
        <w:t xml:space="preserve"> </w:t>
      </w:r>
      <w:r w:rsidR="008E5CBF">
        <w:t>odzieży i </w:t>
      </w:r>
      <w:r w:rsidR="003A0271" w:rsidRPr="00F74897">
        <w:t>obuwia</w:t>
      </w:r>
      <w:r w:rsidRPr="00F74897">
        <w:t xml:space="preserve"> (o </w:t>
      </w:r>
      <w:r w:rsidR="0022312E">
        <w:t>2,5</w:t>
      </w:r>
      <w:r w:rsidRPr="00F74897">
        <w:t>%)</w:t>
      </w:r>
      <w:r w:rsidR="00F04C11" w:rsidRPr="00F74897">
        <w:t xml:space="preserve"> oraz</w:t>
      </w:r>
      <w:r w:rsidR="0022312E">
        <w:t xml:space="preserve"> mieszkania</w:t>
      </w:r>
      <w:r w:rsidR="00F04C11" w:rsidRPr="00F74897">
        <w:t xml:space="preserve"> </w:t>
      </w:r>
      <w:r w:rsidRPr="00F74897">
        <w:t>(o </w:t>
      </w:r>
      <w:r w:rsidR="00F04C11" w:rsidRPr="00F74897">
        <w:t>0</w:t>
      </w:r>
      <w:r w:rsidRPr="00F74897">
        <w:t>,</w:t>
      </w:r>
      <w:r w:rsidR="003A0271" w:rsidRPr="00F74897">
        <w:t>4</w:t>
      </w:r>
      <w:r w:rsidRPr="00F74897">
        <w:t xml:space="preserve">%), które </w:t>
      </w:r>
      <w:r w:rsidR="003A0271" w:rsidRPr="00F74897">
        <w:t>podwyższyły ten</w:t>
      </w:r>
      <w:r w:rsidR="008E5CBF">
        <w:t xml:space="preserve"> wskaźnik odpowiednio o </w:t>
      </w:r>
      <w:r w:rsidRPr="00F74897">
        <w:t>0,</w:t>
      </w:r>
      <w:r w:rsidR="00C23F3B">
        <w:t>20</w:t>
      </w:r>
      <w:r w:rsidR="00674A8B" w:rsidRPr="00F74897">
        <w:t xml:space="preserve"> p. </w:t>
      </w:r>
      <w:r w:rsidR="00F04C11" w:rsidRPr="00F74897">
        <w:t>proc.</w:t>
      </w:r>
      <w:r w:rsidR="00C23F3B">
        <w:t>,0,12 p. proc.</w:t>
      </w:r>
      <w:r w:rsidR="00F04C11" w:rsidRPr="00F74897">
        <w:t xml:space="preserve"> </w:t>
      </w:r>
      <w:r w:rsidR="00E41FCF" w:rsidRPr="00F74897">
        <w:t xml:space="preserve">i </w:t>
      </w:r>
      <w:r w:rsidRPr="00F74897">
        <w:t>0,0</w:t>
      </w:r>
      <w:r w:rsidR="003A0271" w:rsidRPr="00F74897">
        <w:t>9</w:t>
      </w:r>
      <w:r w:rsidRPr="00F74897">
        <w:t xml:space="preserve"> p. proc.</w:t>
      </w:r>
      <w:r w:rsidR="00ED63E8">
        <w:t xml:space="preserve"> </w:t>
      </w:r>
      <w:r w:rsidR="00ED63E8" w:rsidRPr="00ED63E8">
        <w:t>Niższe ceny w zakresie transportu</w:t>
      </w:r>
      <w:r w:rsidR="00ED63E8">
        <w:t xml:space="preserve"> (o 2,5%) oraz</w:t>
      </w:r>
      <w:r w:rsidR="00394B48">
        <w:t xml:space="preserve"> rekreacji i kultury (o 0,9%) obniżyły </w:t>
      </w:r>
      <w:r w:rsidR="005A047A">
        <w:t xml:space="preserve">ten </w:t>
      </w:r>
      <w:r w:rsidR="00394B48">
        <w:t>wskaźnik</w:t>
      </w:r>
      <w:r w:rsidR="00B210CA">
        <w:t xml:space="preserve"> odpowiednio o </w:t>
      </w:r>
      <w:r w:rsidR="00B210CA" w:rsidRPr="00854143">
        <w:t>0,</w:t>
      </w:r>
      <w:r w:rsidR="00B210CA">
        <w:t>2</w:t>
      </w:r>
      <w:r w:rsidR="00B210CA" w:rsidRPr="00854143">
        <w:t>4 p. proc. i 0,0</w:t>
      </w:r>
      <w:r w:rsidR="00B210CA">
        <w:t>6</w:t>
      </w:r>
      <w:r w:rsidR="00B210CA" w:rsidRPr="00854143">
        <w:t xml:space="preserve"> p. proc.</w:t>
      </w:r>
    </w:p>
    <w:p w:rsidR="00A07F00" w:rsidRPr="008362A4" w:rsidRDefault="00A07F00" w:rsidP="00C23F3B">
      <w:pPr>
        <w:spacing w:before="0" w:after="0"/>
      </w:pPr>
      <w:r w:rsidRPr="00854143">
        <w:t>W porównaniu z miesiącem analogicznym poprzedniego roku wyższe ceny żywności (o </w:t>
      </w:r>
      <w:r w:rsidR="00FD6659" w:rsidRPr="00854143">
        <w:t>8,6</w:t>
      </w:r>
      <w:r w:rsidR="00674A8B" w:rsidRPr="00854143">
        <w:t xml:space="preserve">%) </w:t>
      </w:r>
      <w:r w:rsidRPr="00854143">
        <w:t>oraz w zakresie</w:t>
      </w:r>
      <w:r w:rsidR="003A0271" w:rsidRPr="00854143">
        <w:t xml:space="preserve"> </w:t>
      </w:r>
      <w:r w:rsidR="00FD6659" w:rsidRPr="00854143">
        <w:t>mieszkania</w:t>
      </w:r>
      <w:r w:rsidR="00445F90" w:rsidRPr="00854143">
        <w:t xml:space="preserve"> (o 5,9</w:t>
      </w:r>
      <w:r w:rsidR="003A0271" w:rsidRPr="00854143">
        <w:t xml:space="preserve">%) </w:t>
      </w:r>
      <w:r w:rsidRPr="00854143">
        <w:t>pod</w:t>
      </w:r>
      <w:r w:rsidRPr="00854143">
        <w:softHyphen/>
        <w:t>nio</w:t>
      </w:r>
      <w:r w:rsidR="00445F90" w:rsidRPr="00854143">
        <w:t>sły ten wskaźnik odpowiednio o 1,97</w:t>
      </w:r>
      <w:r w:rsidRPr="00854143">
        <w:t xml:space="preserve"> p. proc.</w:t>
      </w:r>
      <w:r w:rsidR="00445F90" w:rsidRPr="00854143">
        <w:t xml:space="preserve"> i 1,42</w:t>
      </w:r>
      <w:r w:rsidR="003A0271" w:rsidRPr="00854143">
        <w:t xml:space="preserve"> p. proc.</w:t>
      </w:r>
      <w:r w:rsidRPr="00854143">
        <w:t xml:space="preserve"> Niższe ceny </w:t>
      </w:r>
      <w:r w:rsidR="0069687E" w:rsidRPr="00854143">
        <w:t>w zakresie tra</w:t>
      </w:r>
      <w:r w:rsidR="00854143" w:rsidRPr="00854143">
        <w:t>nsportu</w:t>
      </w:r>
      <w:r w:rsidRPr="00854143">
        <w:t xml:space="preserve"> (o </w:t>
      </w:r>
      <w:r w:rsidR="004B2EAB">
        <w:t>1,4</w:t>
      </w:r>
      <w:r w:rsidR="00674A8B" w:rsidRPr="00854143">
        <w:t xml:space="preserve">%) </w:t>
      </w:r>
      <w:r w:rsidRPr="00854143">
        <w:t xml:space="preserve">oraz </w:t>
      </w:r>
      <w:r w:rsidR="00854143" w:rsidRPr="00854143">
        <w:t xml:space="preserve">odzieży i obuwia </w:t>
      </w:r>
      <w:r w:rsidRPr="00854143">
        <w:t xml:space="preserve">(o </w:t>
      </w:r>
      <w:r w:rsidR="004B2EAB">
        <w:t>1,7</w:t>
      </w:r>
      <w:r w:rsidRPr="00854143">
        <w:t>%) obniżyły wskaźnik odpowiednio o 0,</w:t>
      </w:r>
      <w:r w:rsidR="00854143" w:rsidRPr="00854143">
        <w:t>14</w:t>
      </w:r>
      <w:r w:rsidR="00674A8B" w:rsidRPr="00854143">
        <w:t xml:space="preserve"> p. proc. </w:t>
      </w:r>
      <w:r w:rsidRPr="00854143">
        <w:t>i 0,</w:t>
      </w:r>
      <w:r w:rsidR="00854143" w:rsidRPr="00854143">
        <w:t>09</w:t>
      </w:r>
      <w:r w:rsidRPr="00854143">
        <w:t xml:space="preserve"> p. proc.</w:t>
      </w:r>
    </w:p>
    <w:p w:rsidR="00A07F00" w:rsidRPr="008362A4" w:rsidRDefault="00A07F00" w:rsidP="00C27D75"/>
    <w:p w:rsidR="00A55B73" w:rsidRDefault="00A55B73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A07F00" w:rsidRDefault="00A07F00" w:rsidP="0080551D">
      <w:pPr>
        <w:pStyle w:val="tytuwykresu"/>
        <w:ind w:left="794" w:hanging="794"/>
        <w:rPr>
          <w:shd w:val="clear" w:color="auto" w:fill="FFFFFF"/>
        </w:rPr>
      </w:pPr>
      <w:r w:rsidRPr="00DD4A41">
        <w:lastRenderedPageBreak/>
        <w:t xml:space="preserve">Wykres </w:t>
      </w:r>
      <w:r w:rsidR="00761070" w:rsidRPr="00DD4A41">
        <w:t>1</w:t>
      </w:r>
      <w:r w:rsidRPr="00DD4A41">
        <w:t>.</w:t>
      </w:r>
      <w:r w:rsidRPr="00DD4A41">
        <w:rPr>
          <w:shd w:val="clear" w:color="auto" w:fill="FFFFFF"/>
        </w:rPr>
        <w:t xml:space="preserve"> Wpływ zmian cen wybranych grup towarów i usług konsumpcyjnych w </w:t>
      </w:r>
      <w:r w:rsidR="005A2784" w:rsidRPr="00DD4A41">
        <w:rPr>
          <w:shd w:val="clear" w:color="auto" w:fill="FFFFFF"/>
        </w:rPr>
        <w:t>marcu</w:t>
      </w:r>
      <w:r w:rsidR="001660CA" w:rsidRPr="00DD4A41">
        <w:rPr>
          <w:shd w:val="clear" w:color="auto" w:fill="FFFFFF"/>
        </w:rPr>
        <w:t xml:space="preserve"> 2020</w:t>
      </w:r>
      <w:r w:rsidRPr="00DD4A41">
        <w:rPr>
          <w:shd w:val="clear" w:color="auto" w:fill="FFFFFF"/>
        </w:rPr>
        <w:t xml:space="preserve"> r.</w:t>
      </w:r>
      <w:r w:rsidRPr="00DD4A41">
        <w:rPr>
          <w:noProof/>
          <w:shd w:val="clear" w:color="auto" w:fill="FFFFFF"/>
          <w:lang w:eastAsia="pl-PL"/>
        </w:rPr>
        <w:t xml:space="preserve"> </w:t>
      </w:r>
      <w:r w:rsidR="0051646A" w:rsidRPr="00DD4A41">
        <w:rPr>
          <w:noProof/>
          <w:shd w:val="clear" w:color="auto" w:fill="FFFFFF"/>
          <w:lang w:eastAsia="pl-PL"/>
        </w:rPr>
        <w:br/>
        <w:t>(z</w:t>
      </w:r>
      <w:r w:rsidR="0051646A" w:rsidRPr="00DD4A41">
        <w:rPr>
          <w:shd w:val="clear" w:color="auto" w:fill="FFFFFF"/>
        </w:rPr>
        <w:t>miana w p. proc. do okresu poprzedniego)</w:t>
      </w:r>
    </w:p>
    <w:p w:rsidR="00A55B73" w:rsidRPr="008362A4" w:rsidRDefault="00A55B73" w:rsidP="0080551D">
      <w:pPr>
        <w:pStyle w:val="tytuwykresu"/>
        <w:ind w:left="794" w:hanging="794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53975</wp:posOffset>
            </wp:positionV>
            <wp:extent cx="5122545" cy="1962785"/>
            <wp:effectExtent l="0" t="0" r="0" b="0"/>
            <wp:wrapSquare wrapText="bothSides"/>
            <wp:docPr id="4" name="Wykres 4" descr="cccc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B73" w:rsidRDefault="00A55B73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</w:p>
    <w:p w:rsidR="00A55B73" w:rsidRDefault="00A55B73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</w:p>
    <w:p w:rsidR="00D11CF3" w:rsidRDefault="005F4399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BD71BA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BD71BA">
        <w:rPr>
          <w:b/>
          <w:spacing w:val="-2"/>
          <w:sz w:val="18"/>
        </w:rPr>
        <w:br/>
      </w:r>
      <w:r w:rsidR="0022272D">
        <w:rPr>
          <w:b/>
          <w:spacing w:val="-2"/>
          <w:sz w:val="18"/>
        </w:rPr>
        <w:t>i usług konsumpcyjnych w 2020</w:t>
      </w:r>
      <w:r w:rsidRPr="00BD71BA">
        <w:rPr>
          <w:b/>
          <w:spacing w:val="-2"/>
          <w:sz w:val="18"/>
        </w:rPr>
        <w:t xml:space="preserve"> r.</w:t>
      </w:r>
    </w:p>
    <w:p w:rsidR="0022272D" w:rsidRDefault="0022272D">
      <w:pPr>
        <w:spacing w:before="0" w:after="160" w:line="259" w:lineRule="auto"/>
        <w:rPr>
          <w:b/>
          <w:spacing w:val="-2"/>
          <w:sz w:val="18"/>
        </w:rPr>
      </w:pPr>
      <w:r>
        <w:rPr>
          <w:noProof/>
          <w:lang w:eastAsia="pl-PL"/>
        </w:rPr>
        <w:drawing>
          <wp:inline distT="0" distB="0" distL="0" distR="0" wp14:anchorId="41E6E5D6" wp14:editId="520C1803">
            <wp:extent cx="5122545" cy="359981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5B73" w:rsidRDefault="00A55B73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3A440F" w:rsidRPr="009B76FA" w:rsidRDefault="001335DA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1335DA">
        <w:rPr>
          <w:noProof/>
          <w:lang w:eastAsia="pl-PL"/>
        </w:rPr>
        <w:lastRenderedPageBreak/>
        <w:drawing>
          <wp:anchor distT="0" distB="0" distL="114300" distR="114300" simplePos="0" relativeHeight="251651072" behindDoc="0" locked="0" layoutInCell="1" allowOverlap="1" wp14:anchorId="3501F9B1" wp14:editId="27D4C389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5122800" cy="2494800"/>
            <wp:effectExtent l="0" t="0" r="0" b="127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1335DA">
        <w:t xml:space="preserve">Wykres </w:t>
      </w:r>
      <w:r w:rsidR="00CF08EF" w:rsidRPr="001335DA">
        <w:t>3</w:t>
      </w:r>
      <w:r w:rsidR="003A440F" w:rsidRPr="001335DA">
        <w:t>.</w:t>
      </w:r>
      <w:r w:rsidR="003A440F" w:rsidRPr="001335DA">
        <w:rPr>
          <w:shd w:val="clear" w:color="auto" w:fill="FFFFFF"/>
        </w:rPr>
        <w:t xml:space="preserve"> C</w:t>
      </w:r>
      <w:r w:rsidR="003A440F" w:rsidRPr="001335DA">
        <w:rPr>
          <w:bCs/>
          <w:shd w:val="clear" w:color="auto" w:fill="FFFFFF"/>
        </w:rPr>
        <w:t xml:space="preserve">eny towarów i usług konsumpcyjnych </w:t>
      </w:r>
      <w:r w:rsidR="003A440F" w:rsidRPr="001335DA">
        <w:rPr>
          <w:shd w:val="clear" w:color="auto" w:fill="FFFFFF"/>
        </w:rPr>
        <w:t>(zmiana w % do okresu poprzedniego)</w:t>
      </w:r>
      <w:r w:rsidR="003A440F" w:rsidRPr="009B76FA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9B76FA" w:rsidRDefault="00DA0243" w:rsidP="0026302B">
      <w:pPr>
        <w:pStyle w:val="LID"/>
        <w:rPr>
          <w:b w:val="0"/>
          <w:spacing w:val="-2"/>
          <w:sz w:val="18"/>
        </w:rPr>
      </w:pPr>
    </w:p>
    <w:p w:rsidR="00034160" w:rsidRDefault="009E3F12" w:rsidP="0080551D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285E1625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A80" w:rsidRPr="00BF2F65" w:rsidRDefault="00B50A80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marcu 2020 r. wskaźnik cen towarów i usług konsumpcyjnych znajdował się powyżej górnej granicy od</w:t>
                            </w:r>
                            <w:r w:rsidRPr="007364D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chyleń od celu inflacyjnego określonego przez Radę Polityki Pieniężnej (2,5% +/- 1 p. 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1625" id="Text Box 25" o:spid="_x0000_s1027" type="#_x0000_t202" style="position:absolute;left:0;text-align:left;margin-left:414.75pt;margin-top:320.25pt;width:135.85pt;height:95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1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lM0F&#10;d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:rsidR="00B50A80" w:rsidRPr="00BF2F65" w:rsidRDefault="00B50A80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marcu 2020 r. wskaźnik cen towarów i usług konsumpcyjnych znajdował się powyżej górnej granicy od</w:t>
                      </w:r>
                      <w:r w:rsidRPr="007364D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chyleń od celu inflacyjnego określonego przez Radę Polityki Pieniężnej (2,5% +/- 1 p. 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7364D7">
        <w:t xml:space="preserve">Wykres </w:t>
      </w:r>
      <w:r w:rsidR="00CF08EF" w:rsidRPr="007364D7">
        <w:t>4</w:t>
      </w:r>
      <w:r w:rsidR="00034160" w:rsidRPr="007364D7">
        <w:t>.</w:t>
      </w:r>
      <w:r w:rsidR="00034160" w:rsidRPr="007364D7">
        <w:rPr>
          <w:shd w:val="clear" w:color="auto" w:fill="FFFFFF"/>
        </w:rPr>
        <w:t xml:space="preserve"> C</w:t>
      </w:r>
      <w:r w:rsidR="00034160" w:rsidRPr="007364D7">
        <w:rPr>
          <w:bCs/>
          <w:shd w:val="clear" w:color="auto" w:fill="FFFFFF"/>
        </w:rPr>
        <w:t xml:space="preserve">eny towarów i usług konsumpcyjnych </w:t>
      </w:r>
      <w:r w:rsidR="00132297" w:rsidRPr="007364D7">
        <w:rPr>
          <w:bCs/>
          <w:shd w:val="clear" w:color="auto" w:fill="FFFFFF"/>
        </w:rPr>
        <w:br/>
      </w:r>
      <w:r w:rsidR="00034160" w:rsidRPr="007364D7">
        <w:rPr>
          <w:shd w:val="clear" w:color="auto" w:fill="FFFFFF"/>
        </w:rPr>
        <w:t>(zmiana w % do analogicznego okresu roku poprzedniego)</w:t>
      </w:r>
    </w:p>
    <w:p w:rsidR="00034160" w:rsidRPr="00502F8C" w:rsidRDefault="007364D7" w:rsidP="00034160">
      <w:pPr>
        <w:spacing w:before="0" w:after="16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inline distT="0" distB="0" distL="0" distR="0" wp14:anchorId="3C8445D6" wp14:editId="3977E5A7">
            <wp:extent cx="5120559" cy="2578553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5B73" w:rsidRDefault="00A55B73" w:rsidP="00DE775D">
      <w:pPr>
        <w:pStyle w:val="tytuwykresu"/>
        <w:ind w:left="794" w:hanging="794"/>
      </w:pPr>
    </w:p>
    <w:p w:rsidR="001E7DBB" w:rsidRPr="00BC1505" w:rsidRDefault="00883763" w:rsidP="00DE775D">
      <w:pPr>
        <w:pStyle w:val="tytuwykresu"/>
        <w:ind w:left="794" w:hanging="794"/>
        <w:rPr>
          <w:bCs/>
          <w:shd w:val="clear" w:color="auto" w:fill="FFFFFF"/>
        </w:rPr>
      </w:pPr>
      <w:r w:rsidRPr="00571BA5">
        <w:t xml:space="preserve">Wykres </w:t>
      </w:r>
      <w:r w:rsidR="00CF08EF" w:rsidRPr="00571BA5">
        <w:t>5</w:t>
      </w:r>
      <w:r w:rsidRPr="00571BA5">
        <w:t>.</w:t>
      </w:r>
      <w:r w:rsidRPr="00571BA5">
        <w:rPr>
          <w:shd w:val="clear" w:color="auto" w:fill="FFFFFF"/>
        </w:rPr>
        <w:t xml:space="preserve"> </w:t>
      </w:r>
      <w:r w:rsidR="00761070" w:rsidRPr="00571BA5">
        <w:rPr>
          <w:bCs/>
          <w:shd w:val="clear" w:color="auto" w:fill="FFFFFF"/>
        </w:rPr>
        <w:t xml:space="preserve">Wskaźnik cen towarów i usług konsumpcyjnych (CPI) oraz </w:t>
      </w:r>
      <w:r w:rsidR="001E7DBB" w:rsidRPr="00571BA5">
        <w:rPr>
          <w:bCs/>
          <w:shd w:val="clear" w:color="auto" w:fill="FFFFFF"/>
        </w:rPr>
        <w:t>z</w:t>
      </w:r>
      <w:r w:rsidR="00761070" w:rsidRPr="00571BA5">
        <w:rPr>
          <w:bCs/>
          <w:shd w:val="clear" w:color="auto" w:fill="FFFFFF"/>
        </w:rPr>
        <w:t xml:space="preserve">harmonizowany </w:t>
      </w:r>
      <w:r w:rsidR="001E7DBB" w:rsidRPr="00571BA5">
        <w:rPr>
          <w:bCs/>
          <w:shd w:val="clear" w:color="auto" w:fill="FFFFFF"/>
        </w:rPr>
        <w:t xml:space="preserve">wskaźnik </w:t>
      </w:r>
      <w:r w:rsidR="00511F19" w:rsidRPr="00571BA5">
        <w:rPr>
          <w:bCs/>
          <w:shd w:val="clear" w:color="auto" w:fill="FFFFFF"/>
        </w:rPr>
        <w:br/>
      </w:r>
      <w:r w:rsidR="001E7DBB" w:rsidRPr="00571BA5">
        <w:rPr>
          <w:bCs/>
          <w:shd w:val="clear" w:color="auto" w:fill="FFFFFF"/>
        </w:rPr>
        <w:t xml:space="preserve">cen konsumpcyjnych (HICP) </w:t>
      </w:r>
      <w:r w:rsidR="001E7DBB" w:rsidRPr="00571BA5">
        <w:rPr>
          <w:shd w:val="clear" w:color="auto" w:fill="FFFFFF"/>
        </w:rPr>
        <w:t>(zmiana w % do analogicznego okresu roku poprzedniego)</w:t>
      </w:r>
    </w:p>
    <w:p w:rsidR="00820461" w:rsidRPr="00502F8C" w:rsidRDefault="00571BA5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eastAsia="pl-PL"/>
        </w:rPr>
        <w:drawing>
          <wp:inline distT="0" distB="0" distL="0" distR="0" wp14:anchorId="47B21960" wp14:editId="16844C52">
            <wp:extent cx="5122545" cy="250825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820461" w:rsidRPr="00502F8C">
        <w:rPr>
          <w:sz w:val="18"/>
          <w:highlight w:val="yellow"/>
        </w:rPr>
        <w:br w:type="page"/>
      </w:r>
    </w:p>
    <w:p w:rsidR="00516A50" w:rsidRDefault="00516A50" w:rsidP="00516A50">
      <w:pPr>
        <w:pStyle w:val="LID"/>
        <w:rPr>
          <w:bCs/>
          <w:sz w:val="18"/>
          <w:shd w:val="clear" w:color="auto" w:fill="FFFFFF"/>
        </w:rPr>
      </w:pPr>
      <w:r w:rsidRPr="00BA0B97">
        <w:rPr>
          <w:sz w:val="18"/>
        </w:rPr>
        <w:lastRenderedPageBreak/>
        <w:t xml:space="preserve">Tablica </w:t>
      </w:r>
      <w:r w:rsidR="00CF08EF" w:rsidRPr="00BA0B97">
        <w:rPr>
          <w:sz w:val="18"/>
        </w:rPr>
        <w:t>2</w:t>
      </w:r>
      <w:r w:rsidRPr="00BA0B97">
        <w:rPr>
          <w:sz w:val="18"/>
        </w:rPr>
        <w:t>.</w:t>
      </w:r>
      <w:r w:rsidRPr="00BA0B97">
        <w:rPr>
          <w:sz w:val="18"/>
          <w:shd w:val="clear" w:color="auto" w:fill="FFFFFF"/>
        </w:rPr>
        <w:t xml:space="preserve"> </w:t>
      </w:r>
      <w:r w:rsidRPr="00BA0B97">
        <w:rPr>
          <w:bCs/>
          <w:sz w:val="18"/>
          <w:shd w:val="clear" w:color="auto" w:fill="FFFFFF"/>
        </w:rPr>
        <w:t xml:space="preserve">Wskaźniki cen towarów i usług konsumpcyjnych w </w:t>
      </w:r>
      <w:r w:rsidR="0004015D" w:rsidRPr="00BA0B97">
        <w:rPr>
          <w:bCs/>
          <w:sz w:val="18"/>
          <w:shd w:val="clear" w:color="auto" w:fill="FFFFFF"/>
        </w:rPr>
        <w:t>marcu</w:t>
      </w:r>
      <w:r w:rsidR="007364D7" w:rsidRPr="00BA0B97">
        <w:rPr>
          <w:sz w:val="18"/>
        </w:rPr>
        <w:t xml:space="preserve"> 2020</w:t>
      </w:r>
      <w:r w:rsidRPr="00BA0B97">
        <w:rPr>
          <w:sz w:val="18"/>
        </w:rPr>
        <w:t> </w:t>
      </w:r>
      <w:r w:rsidRPr="00BA0B97">
        <w:rPr>
          <w:bCs/>
          <w:sz w:val="18"/>
          <w:shd w:val="clear" w:color="auto" w:fill="FFFFFF"/>
        </w:rPr>
        <w:t>r.</w:t>
      </w:r>
    </w:p>
    <w:p w:rsidR="00DE775D" w:rsidRPr="00615A26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1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972"/>
        <w:gridCol w:w="972"/>
        <w:gridCol w:w="979"/>
        <w:gridCol w:w="972"/>
        <w:gridCol w:w="973"/>
        <w:gridCol w:w="21"/>
      </w:tblGrid>
      <w:tr w:rsidR="00593CF4" w:rsidRPr="00AA13BD" w:rsidTr="00BD71BA">
        <w:trPr>
          <w:cantSplit/>
          <w:trHeight w:val="315"/>
          <w:tblHeader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593CF4" w:rsidRPr="00AA13BD" w:rsidRDefault="00247B43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III 2020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247B43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I-III 2020</w:t>
            </w:r>
          </w:p>
        </w:tc>
      </w:tr>
      <w:tr w:rsidR="00593CF4" w:rsidRPr="00AA13BD" w:rsidTr="00BD71BA">
        <w:trPr>
          <w:gridAfter w:val="1"/>
          <w:wAfter w:w="21" w:type="dxa"/>
          <w:cantSplit/>
          <w:trHeight w:val="465"/>
          <w:tblHeader/>
        </w:trPr>
        <w:tc>
          <w:tcPr>
            <w:tcW w:w="325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247B43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III 201</w:t>
            </w:r>
            <w:r w:rsidR="00247B43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247B43">
              <w:rPr>
                <w:rFonts w:eastAsia="Times New Roman" w:cs="Calibri"/>
                <w:sz w:val="16"/>
                <w:szCs w:val="16"/>
                <w:lang w:eastAsia="pl-PL"/>
              </w:rPr>
              <w:t>II 2019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247B43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II 2020</w:t>
            </w:r>
            <w:r w:rsidR="00593CF4" w:rsidRPr="00AA13BD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93CF4" w:rsidRPr="00AA13B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593CF4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I-III</w:t>
            </w:r>
            <w:r w:rsidR="00247B43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  <w:r w:rsidRPr="00AA13BD">
              <w:rPr>
                <w:rFonts w:eastAsia="Times New Roman" w:cs="Calibri"/>
                <w:sz w:val="16"/>
                <w:szCs w:val="16"/>
                <w:lang w:eastAsia="pl-PL"/>
              </w:rPr>
              <w:t>= =100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93CF4" w:rsidRPr="00AA13BD" w:rsidRDefault="00247B43" w:rsidP="00BD71B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X-XII 2019</w:t>
            </w:r>
            <w:r w:rsidR="00593CF4" w:rsidRPr="00AA13BD">
              <w:rPr>
                <w:rFonts w:eastAsia="Times New Roman" w:cs="Calibri"/>
                <w:sz w:val="16"/>
                <w:szCs w:val="16"/>
                <w:lang w:eastAsia="pl-PL"/>
              </w:rPr>
              <w:t>= =100</w:t>
            </w:r>
          </w:p>
        </w:tc>
      </w:tr>
      <w:tr w:rsidR="00DB51F0" w:rsidRPr="00DB51F0" w:rsidTr="00DB51F0">
        <w:trPr>
          <w:gridAfter w:val="1"/>
          <w:wAfter w:w="21" w:type="dxa"/>
          <w:trHeight w:val="330"/>
        </w:trPr>
        <w:tc>
          <w:tcPr>
            <w:tcW w:w="325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single" w:sz="12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973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9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DB51F0" w:rsidRPr="00DB51F0" w:rsidTr="00DB51F0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A13B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79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115,3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114,5</w:t>
            </w:r>
          </w:p>
        </w:tc>
        <w:tc>
          <w:tcPr>
            <w:tcW w:w="973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125,8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114,1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DB51F0" w:rsidRPr="00DB51F0" w:rsidTr="00DB51F0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112,1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DB51F0" w:rsidRPr="00DB51F0" w:rsidTr="00DB51F0">
        <w:trPr>
          <w:gridAfter w:val="1"/>
          <w:wAfter w:w="21" w:type="dxa"/>
          <w:cantSplit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</w:tr>
      <w:tr w:rsidR="00DB51F0" w:rsidRPr="00DB51F0" w:rsidTr="00DE775D">
        <w:trPr>
          <w:gridAfter w:val="1"/>
          <w:wAfter w:w="21" w:type="dxa"/>
          <w:trHeight w:val="307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</w:tr>
      <w:tr w:rsidR="00DB51F0" w:rsidRPr="00DB51F0" w:rsidTr="00DE775D">
        <w:trPr>
          <w:gridAfter w:val="1"/>
          <w:wAfter w:w="21" w:type="dxa"/>
          <w:trHeight w:val="292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DB51F0" w:rsidRPr="00DB51F0" w:rsidTr="00DB51F0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I 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DB51F0" w:rsidRPr="00DB51F0" w:rsidTr="00DE775D">
        <w:trPr>
          <w:gridAfter w:val="1"/>
          <w:wAfter w:w="21" w:type="dxa"/>
          <w:trHeight w:val="176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E775D" w:rsidRDefault="00DB51F0" w:rsidP="00DE775D">
            <w:pPr>
              <w:spacing w:before="40" w:after="40"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110,3</w:t>
            </w:r>
          </w:p>
        </w:tc>
      </w:tr>
      <w:tr w:rsidR="00DB51F0" w:rsidRPr="00DB51F0" w:rsidTr="00DE775D">
        <w:trPr>
          <w:gridAfter w:val="1"/>
          <w:wAfter w:w="21" w:type="dxa"/>
          <w:trHeight w:val="266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DB51F0" w:rsidRPr="00DB51F0" w:rsidTr="00DE775D">
        <w:trPr>
          <w:gridAfter w:val="1"/>
          <w:wAfter w:w="21" w:type="dxa"/>
          <w:trHeight w:val="27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DB51F0" w:rsidRPr="00DB51F0" w:rsidTr="00DE775D">
        <w:trPr>
          <w:gridAfter w:val="1"/>
          <w:wAfter w:w="21" w:type="dxa"/>
          <w:trHeight w:val="26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DB51F0" w:rsidRPr="00DB51F0" w:rsidTr="00DB51F0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DB51F0" w:rsidRPr="00DB51F0" w:rsidTr="00DB51F0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DB51F0" w:rsidRPr="00DB51F0" w:rsidTr="00DE775D">
        <w:trPr>
          <w:gridAfter w:val="1"/>
          <w:wAfter w:w="21" w:type="dxa"/>
          <w:trHeight w:val="257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BB4773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DB51F0" w:rsidRPr="00DB51F0" w:rsidTr="00DE775D">
        <w:trPr>
          <w:gridAfter w:val="1"/>
          <w:wAfter w:w="21" w:type="dxa"/>
          <w:trHeight w:val="279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BB4773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BB4773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BB477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</w:tr>
      <w:tr w:rsidR="00DB51F0" w:rsidRPr="00DB51F0" w:rsidTr="00DB51F0">
        <w:trPr>
          <w:gridAfter w:val="1"/>
          <w:wAfter w:w="21" w:type="dxa"/>
          <w:trHeight w:val="46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DB51F0" w:rsidRPr="00DB51F0" w:rsidTr="00DB51F0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A13B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DB51F0" w:rsidRPr="00DB51F0" w:rsidTr="00DB51F0">
        <w:trPr>
          <w:gridAfter w:val="1"/>
          <w:wAfter w:w="21" w:type="dxa"/>
          <w:trHeight w:val="300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za </w:t>
            </w:r>
            <w:proofErr w:type="spellStart"/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granicą</w:t>
            </w:r>
            <w:r w:rsidR="00A55B73" w:rsidRPr="009E3F12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97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97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DB51F0" w:rsidRPr="00DB51F0" w:rsidTr="00DB51F0">
        <w:trPr>
          <w:gridAfter w:val="1"/>
          <w:wAfter w:w="21" w:type="dxa"/>
          <w:trHeight w:val="315"/>
        </w:trPr>
        <w:tc>
          <w:tcPr>
            <w:tcW w:w="325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DB51F0" w:rsidRPr="00DB51F0" w:rsidTr="00DB51F0">
        <w:trPr>
          <w:gridAfter w:val="1"/>
          <w:wAfter w:w="21" w:type="dxa"/>
          <w:trHeight w:val="450"/>
        </w:trPr>
        <w:tc>
          <w:tcPr>
            <w:tcW w:w="325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AA13BD" w:rsidRDefault="00DB51F0" w:rsidP="00DB51F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A13B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2147B5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147B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F0" w:rsidRPr="00DB51F0" w:rsidRDefault="00DB51F0" w:rsidP="00DB51F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B51F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</w:tbl>
    <w:p w:rsidR="009E3FA7" w:rsidRPr="00AA13BD" w:rsidRDefault="009E3FA7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502F8C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685123" w:rsidRPr="009E3F12" w:rsidRDefault="00A55B73" w:rsidP="00883763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685123" w:rsidRPr="009E3F12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02205C">
        <w:rPr>
          <w:noProof/>
          <w:sz w:val="24"/>
          <w:szCs w:val="24"/>
          <w:vertAlign w:val="superscript"/>
          <w:lang w:eastAsia="pl-PL"/>
        </w:rPr>
        <w:t>u</w:t>
      </w:r>
      <w:r w:rsidRPr="008B0AF7">
        <w:rPr>
          <w:noProof/>
          <w:sz w:val="24"/>
          <w:szCs w:val="24"/>
          <w:vertAlign w:val="superscript"/>
          <w:lang w:eastAsia="pl-PL"/>
        </w:rPr>
        <w:t xml:space="preserve"> </w:t>
      </w:r>
      <w:r w:rsidR="008B0AF7">
        <w:rPr>
          <w:noProof/>
          <w:sz w:val="24"/>
          <w:szCs w:val="24"/>
          <w:vertAlign w:val="superscript"/>
          <w:lang w:eastAsia="pl-PL"/>
        </w:rPr>
        <w:t xml:space="preserve"> </w:t>
      </w:r>
      <w:r w:rsidR="008B0AF7" w:rsidRPr="00B50A80">
        <w:rPr>
          <w:noProof/>
          <w:sz w:val="16"/>
          <w:szCs w:val="16"/>
          <w:lang w:eastAsia="pl-PL"/>
        </w:rPr>
        <w:t>Udział danych szacowanych dla agregatu powyżej 50%</w:t>
      </w:r>
    </w:p>
    <w:p w:rsidR="000470AA" w:rsidRPr="00502F8C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883763" w:rsidRPr="0058676C" w:rsidTr="00EE696D">
        <w:trPr>
          <w:trHeight w:val="1912"/>
        </w:trPr>
        <w:tc>
          <w:tcPr>
            <w:tcW w:w="4379" w:type="dxa"/>
          </w:tcPr>
          <w:p w:rsidR="00883763" w:rsidRPr="0058676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58676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58676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8676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5C5EF8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5C5EF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BA0B97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5C5EF8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58676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8676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58676C">
              <w:rPr>
                <w:rFonts w:cs="Arial"/>
                <w:color w:val="000000" w:themeColor="text1"/>
                <w:sz w:val="20"/>
              </w:rPr>
              <w:br/>
            </w:r>
            <w:r w:rsidRPr="0058676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FF39EB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BA0B97" w:rsidRPr="00FF39EB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  <w:p w:rsidR="00883763" w:rsidRPr="0058676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58676C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58676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8676C" w:rsidRDefault="000470AA" w:rsidP="000470AA">
            <w:pPr>
              <w:rPr>
                <w:b/>
                <w:sz w:val="20"/>
              </w:rPr>
            </w:pPr>
            <w:r w:rsidRPr="0058676C">
              <w:rPr>
                <w:b/>
                <w:sz w:val="20"/>
              </w:rPr>
              <w:t xml:space="preserve">Wydział Współpracy z Mediami </w:t>
            </w:r>
          </w:p>
          <w:p w:rsidR="000470AA" w:rsidRPr="0058676C" w:rsidRDefault="00DE775D" w:rsidP="000470AA">
            <w:pPr>
              <w:rPr>
                <w:sz w:val="20"/>
              </w:rPr>
            </w:pPr>
            <w:r w:rsidRPr="00DE775D">
              <w:rPr>
                <w:sz w:val="20"/>
              </w:rPr>
              <w:t>T</w:t>
            </w:r>
            <w:r w:rsidR="000470AA" w:rsidRPr="00DE775D">
              <w:rPr>
                <w:sz w:val="20"/>
              </w:rPr>
              <w:t>el:</w:t>
            </w:r>
            <w:r w:rsidR="000470AA" w:rsidRPr="0058676C">
              <w:rPr>
                <w:b/>
                <w:sz w:val="20"/>
              </w:rPr>
              <w:t xml:space="preserve"> </w:t>
            </w:r>
            <w:r w:rsidR="00097840" w:rsidRPr="0058676C">
              <w:rPr>
                <w:sz w:val="20"/>
              </w:rPr>
              <w:t>22 608 34 91, 22</w:t>
            </w:r>
            <w:r w:rsidR="000470AA" w:rsidRPr="0058676C">
              <w:rPr>
                <w:sz w:val="20"/>
              </w:rPr>
              <w:t xml:space="preserve"> 608 38 04 </w:t>
            </w:r>
          </w:p>
          <w:p w:rsidR="000470AA" w:rsidRPr="0058676C" w:rsidRDefault="000470AA" w:rsidP="000470AA">
            <w:pPr>
              <w:rPr>
                <w:sz w:val="18"/>
                <w:lang w:val="en-US"/>
              </w:rPr>
            </w:pPr>
            <w:r w:rsidRPr="0058676C">
              <w:rPr>
                <w:b/>
                <w:sz w:val="20"/>
                <w:lang w:val="en-US"/>
              </w:rPr>
              <w:t>e-mail:</w:t>
            </w:r>
            <w:r w:rsidRPr="00BA0B97">
              <w:rPr>
                <w:b/>
                <w:sz w:val="20"/>
                <w:lang w:val="en-US"/>
              </w:rPr>
              <w:t xml:space="preserve"> </w:t>
            </w:r>
            <w:hyperlink r:id="rId21" w:history="1">
              <w:r w:rsidRPr="00BA0B97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8676C" w:rsidRDefault="000470AA" w:rsidP="000470AA">
            <w:pPr>
              <w:rPr>
                <w:sz w:val="18"/>
                <w:lang w:val="en-US"/>
              </w:rPr>
            </w:pPr>
            <w:r w:rsidRPr="005867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6C70B476" wp14:editId="3AC8086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sz w:val="20"/>
              </w:rPr>
              <w:t>www.stat.gov.pl</w:t>
            </w:r>
          </w:p>
        </w:tc>
      </w:tr>
      <w:tr w:rsidR="000470AA" w:rsidRPr="0058676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26F83DA7" wp14:editId="1C61F36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sz w:val="20"/>
              </w:rPr>
              <w:t>@GUS_STAT</w:t>
            </w:r>
          </w:p>
        </w:tc>
      </w:tr>
      <w:tr w:rsidR="000470AA" w:rsidRPr="0058676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8676C" w:rsidRDefault="000470AA" w:rsidP="000470AA">
            <w:pPr>
              <w:rPr>
                <w:sz w:val="18"/>
              </w:rPr>
            </w:pPr>
            <w:r w:rsidRPr="0058676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4C3980C" wp14:editId="0EACF83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8676C" w:rsidRDefault="000470AA" w:rsidP="000470AA">
            <w:pPr>
              <w:rPr>
                <w:sz w:val="20"/>
              </w:rPr>
            </w:pPr>
            <w:r w:rsidRPr="0058676C">
              <w:rPr>
                <w:sz w:val="20"/>
              </w:rPr>
              <w:t>@</w:t>
            </w:r>
            <w:proofErr w:type="spellStart"/>
            <w:r w:rsidRPr="0058676C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9E3F12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CBA8F7A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A80" w:rsidRDefault="00B50A80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B50A80" w:rsidRPr="006761A7" w:rsidRDefault="00B50A80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B50A80" w:rsidRPr="00E233EA" w:rsidRDefault="00B50A8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50A80" w:rsidRPr="00E233EA" w:rsidRDefault="00B50A8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B50A80" w:rsidRPr="006761A7" w:rsidRDefault="00B50A8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50A80" w:rsidRDefault="00B50A80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50A80" w:rsidRPr="006761A7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B50A80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B50A80" w:rsidRPr="00E233EA" w:rsidRDefault="0068452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33" w:history="1">
                              <w:proofErr w:type="spellStart"/>
                              <w:r w:rsidR="00B50A80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</w:t>
                              </w:r>
                              <w:proofErr w:type="spellEnd"/>
                              <w:r w:rsidR="00B50A80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B50A80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detaliczna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8F7A"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B50A80" w:rsidRDefault="00B50A80" w:rsidP="00883763">
                      <w:pPr>
                        <w:rPr>
                          <w:b/>
                        </w:rPr>
                      </w:pPr>
                    </w:p>
                    <w:p w:rsidR="00B50A80" w:rsidRPr="006761A7" w:rsidRDefault="00B50A80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B50A80" w:rsidRPr="00E233EA" w:rsidRDefault="00B50A8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50A80" w:rsidRPr="00E233EA" w:rsidRDefault="00B50A8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B50A80" w:rsidRPr="006761A7" w:rsidRDefault="00B50A8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50A80" w:rsidRDefault="00B50A80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50A80" w:rsidRPr="006761A7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B50A80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B50A80" w:rsidRPr="00E233EA" w:rsidRDefault="00D20BA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42" w:history="1">
                        <w:proofErr w:type="spellStart"/>
                        <w:r w:rsidR="00B50A80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</w:t>
                        </w:r>
                        <w:proofErr w:type="spellEnd"/>
                        <w:r w:rsidR="00B50A80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B50A80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detaliczna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3"/>
      <w:footerReference w:type="default" r:id="rId4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2F" w:rsidRDefault="0068452F" w:rsidP="000662E2">
      <w:pPr>
        <w:spacing w:after="0" w:line="240" w:lineRule="auto"/>
      </w:pPr>
      <w:r>
        <w:separator/>
      </w:r>
    </w:p>
  </w:endnote>
  <w:endnote w:type="continuationSeparator" w:id="0">
    <w:p w:rsidR="0068452F" w:rsidRDefault="0068452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B50A80" w:rsidRDefault="00B50A8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4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B50A80" w:rsidRDefault="00B50A8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B50A80" w:rsidRDefault="00B50A80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4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2F" w:rsidRDefault="0068452F" w:rsidP="000662E2">
      <w:pPr>
        <w:spacing w:after="0" w:line="240" w:lineRule="auto"/>
      </w:pPr>
      <w:r>
        <w:separator/>
      </w:r>
    </w:p>
  </w:footnote>
  <w:footnote w:type="continuationSeparator" w:id="0">
    <w:p w:rsidR="0068452F" w:rsidRDefault="0068452F" w:rsidP="000662E2">
      <w:pPr>
        <w:spacing w:after="0" w:line="240" w:lineRule="auto"/>
      </w:pPr>
      <w:r>
        <w:continuationSeparator/>
      </w:r>
    </w:p>
  </w:footnote>
  <w:footnote w:id="1">
    <w:p w:rsidR="00B50A80" w:rsidRPr="00F4410C" w:rsidRDefault="00B50A80" w:rsidP="009E3F12">
      <w:pPr>
        <w:pStyle w:val="NormalnyWeb"/>
        <w:rPr>
          <w:rFonts w:ascii="Fira Sans" w:hAnsi="Fira Sans"/>
          <w:color w:val="222222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F4410C">
        <w:rPr>
          <w:lang w:val="pl-PL"/>
        </w:rPr>
        <w:t xml:space="preserve"> </w:t>
      </w:r>
      <w:r w:rsidRPr="00F4410C">
        <w:rPr>
          <w:rFonts w:ascii="Fira Sans" w:hAnsi="Fira Sans"/>
          <w:color w:val="222222"/>
          <w:sz w:val="16"/>
          <w:szCs w:val="16"/>
          <w:lang w:val="pl-PL"/>
        </w:rPr>
        <w:t xml:space="preserve">Zalecenia rekomendowane przez Eurostat dotyczące wskaźników cen konsumpcyjnych prezentowane są pod linkiem </w:t>
      </w:r>
      <w:hyperlink r:id="rId1" w:history="1">
        <w:r w:rsidRPr="00F4410C">
          <w:rPr>
            <w:rStyle w:val="Hipercze"/>
            <w:rFonts w:ascii="Fira Sans" w:hAnsi="Fira Sans"/>
            <w:sz w:val="16"/>
            <w:szCs w:val="16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B50A80" w:rsidRPr="00F4410C" w:rsidRDefault="00B50A80" w:rsidP="009E3F12">
      <w:pPr>
        <w:pStyle w:val="NormalnyWeb"/>
        <w:rPr>
          <w:rFonts w:ascii="Fira Sans" w:hAnsi="Fira Sans"/>
          <w:color w:val="222222"/>
          <w:sz w:val="16"/>
          <w:szCs w:val="16"/>
        </w:rPr>
      </w:pPr>
      <w:r w:rsidRPr="001A4B7F">
        <w:rPr>
          <w:rFonts w:ascii="Fira Sans" w:hAnsi="Fira Sans"/>
          <w:color w:val="222222"/>
          <w:sz w:val="16"/>
          <w:szCs w:val="16"/>
          <w:lang w:val="pl-PL"/>
        </w:rPr>
        <w:t xml:space="preserve">Dokument </w:t>
      </w:r>
      <w:r w:rsidRPr="00F4410C">
        <w:rPr>
          <w:rFonts w:ascii="Fira Sans" w:hAnsi="Fira Sans"/>
          <w:color w:val="222222"/>
          <w:sz w:val="16"/>
          <w:szCs w:val="16"/>
        </w:rPr>
        <w:t>“Guidance on the compilation of the HICP in the context of the COVID-19 crisis” </w:t>
      </w:r>
      <w:r w:rsidRPr="001A4B7F">
        <w:rPr>
          <w:rFonts w:ascii="Fira Sans" w:hAnsi="Fira Sans"/>
          <w:color w:val="222222"/>
          <w:sz w:val="16"/>
          <w:szCs w:val="16"/>
          <w:lang w:val="pl-PL"/>
        </w:rPr>
        <w:t>został zamieszczony przez Eurostat pod linkiem</w:t>
      </w:r>
      <w:r w:rsidRPr="00F4410C">
        <w:rPr>
          <w:rFonts w:ascii="Fira Sans" w:hAnsi="Fira Sans"/>
          <w:color w:val="222222"/>
          <w:sz w:val="16"/>
          <w:szCs w:val="16"/>
        </w:rPr>
        <w:t xml:space="preserve"> </w:t>
      </w:r>
      <w:hyperlink r:id="rId2" w:history="1">
        <w:r w:rsidRPr="00F4410C">
          <w:rPr>
            <w:rStyle w:val="Hipercze"/>
            <w:rFonts w:ascii="Fira Sans" w:hAnsi="Fira Sans"/>
            <w:sz w:val="16"/>
            <w:szCs w:val="16"/>
          </w:rPr>
          <w:t>https://ec.europa.eu/eurostat/documents/10186/10693286/HICP_guidance.pdf</w:t>
        </w:r>
      </w:hyperlink>
    </w:p>
    <w:p w:rsidR="00B50A80" w:rsidRPr="00F4410C" w:rsidRDefault="00B50A80" w:rsidP="009E3F12">
      <w:pPr>
        <w:pStyle w:val="Tekstprzypisudolnego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80" w:rsidRDefault="00B50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6342E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94EE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B50A80" w:rsidRDefault="00B50A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80" w:rsidRDefault="00B50A80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095BB3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7447C" id="Prostokąt 10" o:spid="_x0000_s1026" style="position:absolute;margin-left:409.95pt;margin-top:39.05pt;width:147.4pt;height:78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0FB1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0A80" w:rsidRPr="003C6C8D" w:rsidRDefault="00B50A80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0FB113"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50A80" w:rsidRPr="003C6C8D" w:rsidRDefault="00B50A80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79FE8957" wp14:editId="34E7DA7F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B50A80" w:rsidRDefault="00B50A8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24E39B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A80" w:rsidRPr="00C97596" w:rsidRDefault="00B50A8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15.04.2020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E39B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50A80" w:rsidRPr="00C97596" w:rsidRDefault="00B50A8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15.04.2020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80" w:rsidRDefault="00B50A80">
    <w:pPr>
      <w:pStyle w:val="Nagwek"/>
    </w:pPr>
  </w:p>
  <w:p w:rsidR="00B50A80" w:rsidRDefault="00B50A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" o:bullet="t">
        <v:imagedata r:id="rId1" o:title=""/>
      </v:shape>
    </w:pict>
  </w:numPicBullet>
  <w:numPicBullet w:numPicBulletId="1">
    <w:pict>
      <v:shape id="_x0000_i1029" type="#_x0000_t75" style="width:123.7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34160"/>
    <w:rsid w:val="0004015D"/>
    <w:rsid w:val="0004582E"/>
    <w:rsid w:val="0004646A"/>
    <w:rsid w:val="000470AA"/>
    <w:rsid w:val="000539AA"/>
    <w:rsid w:val="00057CA1"/>
    <w:rsid w:val="000662E2"/>
    <w:rsid w:val="00066883"/>
    <w:rsid w:val="00074DD8"/>
    <w:rsid w:val="000800B4"/>
    <w:rsid w:val="000806F7"/>
    <w:rsid w:val="00097840"/>
    <w:rsid w:val="000A4BF7"/>
    <w:rsid w:val="000A6963"/>
    <w:rsid w:val="000A7F1A"/>
    <w:rsid w:val="000B0727"/>
    <w:rsid w:val="000C135D"/>
    <w:rsid w:val="000D1D43"/>
    <w:rsid w:val="000D225C"/>
    <w:rsid w:val="000D2A5C"/>
    <w:rsid w:val="000E0918"/>
    <w:rsid w:val="000F0AF2"/>
    <w:rsid w:val="001011C3"/>
    <w:rsid w:val="00110D87"/>
    <w:rsid w:val="001149A1"/>
    <w:rsid w:val="00114DB9"/>
    <w:rsid w:val="00116087"/>
    <w:rsid w:val="001179CF"/>
    <w:rsid w:val="00130296"/>
    <w:rsid w:val="001317AE"/>
    <w:rsid w:val="00132297"/>
    <w:rsid w:val="001335DA"/>
    <w:rsid w:val="00135B65"/>
    <w:rsid w:val="00142037"/>
    <w:rsid w:val="001423B6"/>
    <w:rsid w:val="001448A7"/>
    <w:rsid w:val="00146621"/>
    <w:rsid w:val="001539C9"/>
    <w:rsid w:val="001600F9"/>
    <w:rsid w:val="00162325"/>
    <w:rsid w:val="001660CA"/>
    <w:rsid w:val="00170D13"/>
    <w:rsid w:val="001951DA"/>
    <w:rsid w:val="001A4B7F"/>
    <w:rsid w:val="001A78D0"/>
    <w:rsid w:val="001B0E45"/>
    <w:rsid w:val="001C3269"/>
    <w:rsid w:val="001D1DB4"/>
    <w:rsid w:val="001D5C9E"/>
    <w:rsid w:val="001E1D94"/>
    <w:rsid w:val="001E7DBB"/>
    <w:rsid w:val="001F60D1"/>
    <w:rsid w:val="00201740"/>
    <w:rsid w:val="002069C0"/>
    <w:rsid w:val="002147B5"/>
    <w:rsid w:val="0022272D"/>
    <w:rsid w:val="0022312E"/>
    <w:rsid w:val="00247B43"/>
    <w:rsid w:val="002574F9"/>
    <w:rsid w:val="00262B61"/>
    <w:rsid w:val="0026302B"/>
    <w:rsid w:val="002724FF"/>
    <w:rsid w:val="00275FA6"/>
    <w:rsid w:val="00276811"/>
    <w:rsid w:val="00276C9A"/>
    <w:rsid w:val="00282699"/>
    <w:rsid w:val="00284859"/>
    <w:rsid w:val="00286FC8"/>
    <w:rsid w:val="00290CB6"/>
    <w:rsid w:val="002926DF"/>
    <w:rsid w:val="00292DBF"/>
    <w:rsid w:val="00296697"/>
    <w:rsid w:val="002A36C0"/>
    <w:rsid w:val="002A4D80"/>
    <w:rsid w:val="002B0472"/>
    <w:rsid w:val="002B6B12"/>
    <w:rsid w:val="002D0020"/>
    <w:rsid w:val="002D24A5"/>
    <w:rsid w:val="002E6140"/>
    <w:rsid w:val="002E6985"/>
    <w:rsid w:val="002E71B6"/>
    <w:rsid w:val="002F77C8"/>
    <w:rsid w:val="00304F22"/>
    <w:rsid w:val="00305162"/>
    <w:rsid w:val="00306C7C"/>
    <w:rsid w:val="00311E43"/>
    <w:rsid w:val="00317B04"/>
    <w:rsid w:val="00322EDD"/>
    <w:rsid w:val="00332320"/>
    <w:rsid w:val="00347D72"/>
    <w:rsid w:val="00357611"/>
    <w:rsid w:val="0036186D"/>
    <w:rsid w:val="00367237"/>
    <w:rsid w:val="0037077F"/>
    <w:rsid w:val="00370D51"/>
    <w:rsid w:val="00372411"/>
    <w:rsid w:val="00373882"/>
    <w:rsid w:val="003843DB"/>
    <w:rsid w:val="00384BFA"/>
    <w:rsid w:val="003901AC"/>
    <w:rsid w:val="00393761"/>
    <w:rsid w:val="00394B48"/>
    <w:rsid w:val="00397D18"/>
    <w:rsid w:val="003A0271"/>
    <w:rsid w:val="003A1B36"/>
    <w:rsid w:val="003A440F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45F90"/>
    <w:rsid w:val="00454E14"/>
    <w:rsid w:val="004566AB"/>
    <w:rsid w:val="00456C2F"/>
    <w:rsid w:val="0045762F"/>
    <w:rsid w:val="004601AC"/>
    <w:rsid w:val="00463E39"/>
    <w:rsid w:val="004657FC"/>
    <w:rsid w:val="004733F6"/>
    <w:rsid w:val="00474E69"/>
    <w:rsid w:val="00485ADD"/>
    <w:rsid w:val="00493217"/>
    <w:rsid w:val="004957AB"/>
    <w:rsid w:val="0049621B"/>
    <w:rsid w:val="0049705B"/>
    <w:rsid w:val="004B2EAB"/>
    <w:rsid w:val="004C1895"/>
    <w:rsid w:val="004C4610"/>
    <w:rsid w:val="004C6D40"/>
    <w:rsid w:val="004F0C3C"/>
    <w:rsid w:val="004F63FC"/>
    <w:rsid w:val="00501F76"/>
    <w:rsid w:val="00502E6F"/>
    <w:rsid w:val="00502F8C"/>
    <w:rsid w:val="00505A92"/>
    <w:rsid w:val="005112CE"/>
    <w:rsid w:val="00511F19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64C34"/>
    <w:rsid w:val="00571BA5"/>
    <w:rsid w:val="005762A7"/>
    <w:rsid w:val="0058676C"/>
    <w:rsid w:val="005877DE"/>
    <w:rsid w:val="005916D7"/>
    <w:rsid w:val="00593CF4"/>
    <w:rsid w:val="005A047A"/>
    <w:rsid w:val="005A2784"/>
    <w:rsid w:val="005A698C"/>
    <w:rsid w:val="005C1AF8"/>
    <w:rsid w:val="005C5EF8"/>
    <w:rsid w:val="005D1C04"/>
    <w:rsid w:val="005D470D"/>
    <w:rsid w:val="005E0799"/>
    <w:rsid w:val="005E2757"/>
    <w:rsid w:val="005E782A"/>
    <w:rsid w:val="005F4399"/>
    <w:rsid w:val="005F5A80"/>
    <w:rsid w:val="006044FF"/>
    <w:rsid w:val="00607CC5"/>
    <w:rsid w:val="00612A16"/>
    <w:rsid w:val="006149F0"/>
    <w:rsid w:val="00615A26"/>
    <w:rsid w:val="00633014"/>
    <w:rsid w:val="0063437B"/>
    <w:rsid w:val="006476FF"/>
    <w:rsid w:val="0066542B"/>
    <w:rsid w:val="006673CA"/>
    <w:rsid w:val="00673C26"/>
    <w:rsid w:val="0067430E"/>
    <w:rsid w:val="00674A8B"/>
    <w:rsid w:val="006812AF"/>
    <w:rsid w:val="00682B23"/>
    <w:rsid w:val="0068327D"/>
    <w:rsid w:val="00683EDE"/>
    <w:rsid w:val="0068452F"/>
    <w:rsid w:val="00685123"/>
    <w:rsid w:val="00691225"/>
    <w:rsid w:val="00694AF0"/>
    <w:rsid w:val="0069687E"/>
    <w:rsid w:val="0069693F"/>
    <w:rsid w:val="0069739D"/>
    <w:rsid w:val="006A4686"/>
    <w:rsid w:val="006B0E9E"/>
    <w:rsid w:val="006B208D"/>
    <w:rsid w:val="006B20B4"/>
    <w:rsid w:val="006B5AE4"/>
    <w:rsid w:val="006C640E"/>
    <w:rsid w:val="006D1507"/>
    <w:rsid w:val="006D4054"/>
    <w:rsid w:val="006D6B72"/>
    <w:rsid w:val="006E02EC"/>
    <w:rsid w:val="007059D5"/>
    <w:rsid w:val="007162EB"/>
    <w:rsid w:val="007211B1"/>
    <w:rsid w:val="0072400B"/>
    <w:rsid w:val="00733D55"/>
    <w:rsid w:val="007364D7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2E24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551D"/>
    <w:rsid w:val="0080553C"/>
    <w:rsid w:val="00805B46"/>
    <w:rsid w:val="00820461"/>
    <w:rsid w:val="00820B10"/>
    <w:rsid w:val="0082498D"/>
    <w:rsid w:val="00825DC2"/>
    <w:rsid w:val="00831172"/>
    <w:rsid w:val="00834AD3"/>
    <w:rsid w:val="008362A4"/>
    <w:rsid w:val="00843795"/>
    <w:rsid w:val="00847F0F"/>
    <w:rsid w:val="00852448"/>
    <w:rsid w:val="00854143"/>
    <w:rsid w:val="0088258A"/>
    <w:rsid w:val="008832C4"/>
    <w:rsid w:val="00883763"/>
    <w:rsid w:val="00886332"/>
    <w:rsid w:val="008A26D9"/>
    <w:rsid w:val="008A7FA1"/>
    <w:rsid w:val="008B0AF7"/>
    <w:rsid w:val="008B22DF"/>
    <w:rsid w:val="008B4AE0"/>
    <w:rsid w:val="008C0C29"/>
    <w:rsid w:val="008C7A01"/>
    <w:rsid w:val="008D368B"/>
    <w:rsid w:val="008E5CBF"/>
    <w:rsid w:val="008F3638"/>
    <w:rsid w:val="008F4441"/>
    <w:rsid w:val="008F6F31"/>
    <w:rsid w:val="008F74DF"/>
    <w:rsid w:val="009127BA"/>
    <w:rsid w:val="00916782"/>
    <w:rsid w:val="00917CCF"/>
    <w:rsid w:val="009227A6"/>
    <w:rsid w:val="00930ED9"/>
    <w:rsid w:val="00933B26"/>
    <w:rsid w:val="00933EC1"/>
    <w:rsid w:val="00942DCA"/>
    <w:rsid w:val="0094377F"/>
    <w:rsid w:val="009530DB"/>
    <w:rsid w:val="00953676"/>
    <w:rsid w:val="00964D8C"/>
    <w:rsid w:val="009705EE"/>
    <w:rsid w:val="00971217"/>
    <w:rsid w:val="00977927"/>
    <w:rsid w:val="0098135C"/>
    <w:rsid w:val="0098156A"/>
    <w:rsid w:val="00990133"/>
    <w:rsid w:val="00991BAC"/>
    <w:rsid w:val="009963D7"/>
    <w:rsid w:val="009A6EA0"/>
    <w:rsid w:val="009B1399"/>
    <w:rsid w:val="009B746F"/>
    <w:rsid w:val="009B76FA"/>
    <w:rsid w:val="009C1335"/>
    <w:rsid w:val="009C1AB2"/>
    <w:rsid w:val="009C5407"/>
    <w:rsid w:val="009C7251"/>
    <w:rsid w:val="009E2E91"/>
    <w:rsid w:val="009E3BF4"/>
    <w:rsid w:val="009E3F12"/>
    <w:rsid w:val="009E3FA7"/>
    <w:rsid w:val="009E410D"/>
    <w:rsid w:val="009F5815"/>
    <w:rsid w:val="00A07F00"/>
    <w:rsid w:val="00A12435"/>
    <w:rsid w:val="00A139F5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5B73"/>
    <w:rsid w:val="00A563F2"/>
    <w:rsid w:val="00A566E8"/>
    <w:rsid w:val="00A810F9"/>
    <w:rsid w:val="00A86ECC"/>
    <w:rsid w:val="00A86FCC"/>
    <w:rsid w:val="00A93892"/>
    <w:rsid w:val="00AA13BD"/>
    <w:rsid w:val="00AA710D"/>
    <w:rsid w:val="00AB6D25"/>
    <w:rsid w:val="00AD0B46"/>
    <w:rsid w:val="00AD4947"/>
    <w:rsid w:val="00AE20FD"/>
    <w:rsid w:val="00AE2D4B"/>
    <w:rsid w:val="00AE3075"/>
    <w:rsid w:val="00AE4F99"/>
    <w:rsid w:val="00B06265"/>
    <w:rsid w:val="00B11B69"/>
    <w:rsid w:val="00B14952"/>
    <w:rsid w:val="00B210CA"/>
    <w:rsid w:val="00B31E5A"/>
    <w:rsid w:val="00B322EC"/>
    <w:rsid w:val="00B37F5A"/>
    <w:rsid w:val="00B40DD0"/>
    <w:rsid w:val="00B5056F"/>
    <w:rsid w:val="00B50A80"/>
    <w:rsid w:val="00B609CE"/>
    <w:rsid w:val="00B653AB"/>
    <w:rsid w:val="00B65F9E"/>
    <w:rsid w:val="00B66B19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B4773"/>
    <w:rsid w:val="00BB4F09"/>
    <w:rsid w:val="00BC1505"/>
    <w:rsid w:val="00BC17C7"/>
    <w:rsid w:val="00BD4CA6"/>
    <w:rsid w:val="00BD4E33"/>
    <w:rsid w:val="00BD71BA"/>
    <w:rsid w:val="00BE4B65"/>
    <w:rsid w:val="00C00EDA"/>
    <w:rsid w:val="00C030DE"/>
    <w:rsid w:val="00C22105"/>
    <w:rsid w:val="00C23F3B"/>
    <w:rsid w:val="00C244B6"/>
    <w:rsid w:val="00C27D75"/>
    <w:rsid w:val="00C3702F"/>
    <w:rsid w:val="00C4500A"/>
    <w:rsid w:val="00C55C91"/>
    <w:rsid w:val="00C64A37"/>
    <w:rsid w:val="00C662A5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E019A"/>
    <w:rsid w:val="00CF031B"/>
    <w:rsid w:val="00CF08EF"/>
    <w:rsid w:val="00CF4099"/>
    <w:rsid w:val="00D00796"/>
    <w:rsid w:val="00D02D2C"/>
    <w:rsid w:val="00D11CF3"/>
    <w:rsid w:val="00D20BA3"/>
    <w:rsid w:val="00D261A2"/>
    <w:rsid w:val="00D538E4"/>
    <w:rsid w:val="00D616D2"/>
    <w:rsid w:val="00D63B5F"/>
    <w:rsid w:val="00D7066F"/>
    <w:rsid w:val="00D70EF7"/>
    <w:rsid w:val="00D815F5"/>
    <w:rsid w:val="00D8397C"/>
    <w:rsid w:val="00D83F2F"/>
    <w:rsid w:val="00D84DE7"/>
    <w:rsid w:val="00D94EED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6708"/>
    <w:rsid w:val="00DC7CFA"/>
    <w:rsid w:val="00DD4A41"/>
    <w:rsid w:val="00DE0AFD"/>
    <w:rsid w:val="00DE775D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1AEB"/>
    <w:rsid w:val="00E522A7"/>
    <w:rsid w:val="00E54452"/>
    <w:rsid w:val="00E664C5"/>
    <w:rsid w:val="00E671A2"/>
    <w:rsid w:val="00E76D26"/>
    <w:rsid w:val="00E95BE5"/>
    <w:rsid w:val="00EB02C9"/>
    <w:rsid w:val="00EB1390"/>
    <w:rsid w:val="00EB2C71"/>
    <w:rsid w:val="00EB4340"/>
    <w:rsid w:val="00EB556D"/>
    <w:rsid w:val="00EB5A7D"/>
    <w:rsid w:val="00ED55C0"/>
    <w:rsid w:val="00ED63E8"/>
    <w:rsid w:val="00ED682B"/>
    <w:rsid w:val="00EE41D5"/>
    <w:rsid w:val="00EE696D"/>
    <w:rsid w:val="00EF7B36"/>
    <w:rsid w:val="00F037A4"/>
    <w:rsid w:val="00F04C11"/>
    <w:rsid w:val="00F12FEC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79EB"/>
    <w:rsid w:val="00F52335"/>
    <w:rsid w:val="00F65EEC"/>
    <w:rsid w:val="00F6637E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5128"/>
    <w:rsid w:val="00FB42D4"/>
    <w:rsid w:val="00FB5906"/>
    <w:rsid w:val="00FB762F"/>
    <w:rsid w:val="00FC143D"/>
    <w:rsid w:val="00FC2AED"/>
    <w:rsid w:val="00FC303F"/>
    <w:rsid w:val="00FD5EA7"/>
    <w:rsid w:val="00FD665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2E645-2120-42D0-AE00-2E457D1F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://stat.gov.pl/obszary-tematyczne/ceny-handel/wskazniki-cen/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sygnalne/komunikaty-i-obwieszczenia/" TargetMode="External"/><Relationship Id="rId42" Type="http://schemas.openxmlformats.org/officeDocument/2006/relationships/hyperlink" Target="http://stat.gov.pl/metainformacje/slownik-pojec/pojecia-stosowane-w-statystyce-publicznej/32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9" Type="http://schemas.openxmlformats.org/officeDocument/2006/relationships/hyperlink" Target="https://bdl.stat.gov.pl/BDL/star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obszary-tematyczne/ceny-handel/ceny/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image" Target="media/image6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s://bdl.stat.gov.pl/BDL/start" TargetMode="External"/><Relationship Id="rId46" Type="http://schemas.openxmlformats.org/officeDocument/2006/relationships/theme" Target="theme/theme1.xm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711,pojecie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documents/10186/10693286/HICP_guidance.pdf" TargetMode="External"/><Relationship Id="rId1" Type="http://schemas.openxmlformats.org/officeDocument/2006/relationships/hyperlink" Target="https://stat.gov.pl/obszary-tematyczne/ceny-handel/wskazniki-cen/wytyczne-dotyczace-opracowania-hicp-w-kontekscie-kryzysu-zwiazanego-z-covid-19,19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a\cenydet\dyskF\ROBOCZY\Ula\Ci&#261;gutka_pier_str\WST_2020\WYKRESY\03_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a\CenyDet\DyskF\ROBOCZY\Ula\Ci&#261;gutka_pier_str\WST_2020\WYKRESY\01_2020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a\CenyDet\DyskF\ROBOCZY\Ula\Ci&#261;gutka_pier_str\WST_2020\WYKRESY\01_2020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a\CenyDet\DyskF\ROBOCZY\Ula\Ci&#261;gutka_pier_str\WST_2020\WYKRESY\01_2020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a\CenyDet\DyskF\ROBOCZY\Ula\Ci&#261;gutka_pier_str\WST_2020\WYKRESY\01_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WPŁYWY!$A$90:$A$96</c:f>
              <c:strCache>
                <c:ptCount val="7"/>
                <c:pt idx="0">
                  <c:v>Paliwa do prywatnych środków transportu</c:v>
                </c:pt>
                <c:pt idx="1">
                  <c:v>Turystyka zorganizowana</c:v>
                </c:pt>
                <c:pt idx="2">
                  <c:v>Owoce</c:v>
                </c:pt>
                <c:pt idx="3">
                  <c:v>Gastronomia</c:v>
                </c:pt>
                <c:pt idx="4">
                  <c:v>Wywóz śmieci</c:v>
                </c:pt>
                <c:pt idx="5">
                  <c:v>Odzież</c:v>
                </c:pt>
                <c:pt idx="6">
                  <c:v>Mięso</c:v>
                </c:pt>
              </c:strCache>
            </c:strRef>
          </c:cat>
          <c:val>
            <c:numRef>
              <c:f>WPŁYWY!$C$90:$C$96</c:f>
              <c:numCache>
                <c:formatCode>0.00</c:formatCode>
                <c:ptCount val="7"/>
                <c:pt idx="0">
                  <c:v>-0.25</c:v>
                </c:pt>
                <c:pt idx="1">
                  <c:v>-7.0000000000000007E-2</c:v>
                </c:pt>
                <c:pt idx="2">
                  <c:v>0.03</c:v>
                </c:pt>
                <c:pt idx="3">
                  <c:v>0.03</c:v>
                </c:pt>
                <c:pt idx="4">
                  <c:v>0.05</c:v>
                </c:pt>
                <c:pt idx="5">
                  <c:v>0.09</c:v>
                </c:pt>
                <c:pt idx="6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9310912"/>
        <c:axId val="1669315808"/>
      </c:barChart>
      <c:catAx>
        <c:axId val="166931091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669315808"/>
        <c:crossesAt val="0"/>
        <c:auto val="1"/>
        <c:lblAlgn val="ctr"/>
        <c:lblOffset val="100"/>
        <c:tickMarkSkip val="1"/>
        <c:noMultiLvlLbl val="0"/>
      </c:catAx>
      <c:valAx>
        <c:axId val="1669315808"/>
        <c:scaling>
          <c:orientation val="minMax"/>
          <c:max val="0.15000000000000002"/>
          <c:min val="-0.30000000000000004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669310912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9319616"/>
        <c:axId val="1669316352"/>
      </c:barChart>
      <c:catAx>
        <c:axId val="1669319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1669316352"/>
        <c:crosses val="autoZero"/>
        <c:auto val="0"/>
        <c:lblAlgn val="ctr"/>
        <c:lblOffset val="100"/>
        <c:noMultiLvlLbl val="0"/>
      </c:catAx>
      <c:valAx>
        <c:axId val="1669316352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669319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9.3315604743701291E-3"/>
                  <c:y val="-1.791208578881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8495937741364652E-3"/>
                  <c:y val="-9.7246642836440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740856251772E-2"/>
                  <c:y val="-2.9599072553376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731372759891675E-2"/>
                  <c:y val="4.548507390590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4538584124439055E-2"/>
                  <c:y val="4.3977973142691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08219035579088E-2"/>
                  <c:y val="-2.5972559426345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7605135728431861E-2"/>
                  <c:y val="-5.1665410459130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5.8404562575829003E-3"/>
                  <c:y val="-4.4569976105328993E-3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6.1754352826207557E-3"/>
                  <c:y val="1.769713037366615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'M-1'!$B$26:$B$52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'M-1'!$C$26:$C$52</c:f>
              <c:numCache>
                <c:formatCode>0.0</c:formatCode>
                <c:ptCount val="27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</c:v>
                </c:pt>
                <c:pt idx="22">
                  <c:v>0.1</c:v>
                </c:pt>
                <c:pt idx="23">
                  <c:v>0.8</c:v>
                </c:pt>
                <c:pt idx="24">
                  <c:v>0.9</c:v>
                </c:pt>
                <c:pt idx="25">
                  <c:v>0.7</c:v>
                </c:pt>
                <c:pt idx="26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9316896"/>
        <c:axId val="1669317440"/>
      </c:lineChart>
      <c:dateAx>
        <c:axId val="166931689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669317440"/>
        <c:crossesAt val="0"/>
        <c:auto val="0"/>
        <c:lblOffset val="100"/>
        <c:baseTimeUnit val="days"/>
      </c:dateAx>
      <c:valAx>
        <c:axId val="1669317440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66931689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48856233161891E-2"/>
                  <c:y val="3.891486426086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5814352192E-2"/>
                  <c:y val="3.8940904409335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186333578251285E-2"/>
                  <c:y val="-4.044967838473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682141402658591E-2"/>
                  <c:y val="-4.1340838045117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253558114982807E-2"/>
                  <c:y val="-3.6312520781577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5632525104090129E-2"/>
                  <c:y val="3.8454303426028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2979867744305566E-2"/>
                  <c:y val="1.8086243417089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097967180994375E-3"/>
                  <c:y val="9.77321751297149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176585843743E-2"/>
                  <c:y val="2.14978915252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5974528532941464E-2"/>
                  <c:y val="2.3146971375269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4.164011868509418E-2"/>
                  <c:y val="-4.9406635802469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78363395018442E-2"/>
                  <c:y val="2.821797839506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3171964407618904E-2"/>
                  <c:y val="-3.6904977607304719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1.1591646670123945E-2"/>
                  <c:y val="-1.6426612369117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(+FE)'!$B$26:$B$52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'M-12 (+FE)'!$C$26:$C$52</c:f>
              <c:numCache>
                <c:formatCode>0.0</c:formatCode>
                <c:ptCount val="27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  <c:pt idx="24">
                  <c:v>4.3</c:v>
                </c:pt>
                <c:pt idx="25">
                  <c:v>4.7</c:v>
                </c:pt>
                <c:pt idx="26">
                  <c:v>4.5999999999999996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9310368"/>
        <c:axId val="1669320160"/>
      </c:lineChart>
      <c:dateAx>
        <c:axId val="166931036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669320160"/>
        <c:crossesAt val="0"/>
        <c:auto val="0"/>
        <c:lblOffset val="100"/>
        <c:baseTimeUnit val="days"/>
      </c:dateAx>
      <c:valAx>
        <c:axId val="1669320160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66931036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m-12'!$B$27:$B$53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'CPI_HICP m-12'!$C$27:$C$53</c:f>
              <c:numCache>
                <c:formatCode>0.0</c:formatCode>
                <c:ptCount val="27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  <c:pt idx="24">
                  <c:v>4.3</c:v>
                </c:pt>
                <c:pt idx="25">
                  <c:v>4.7</c:v>
                </c:pt>
                <c:pt idx="26">
                  <c:v>4.5999999999999996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m-12'!$B$27:$B$53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'CPI_HICP m-12'!$E$27:$E$52</c:f>
              <c:numCache>
                <c:formatCode>0.0</c:formatCode>
                <c:ptCount val="26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2.2999999999999998</c:v>
                </c:pt>
                <c:pt idx="18">
                  <c:v>2.5</c:v>
                </c:pt>
                <c:pt idx="19">
                  <c:v>2.6</c:v>
                </c:pt>
                <c:pt idx="20">
                  <c:v>2.4</c:v>
                </c:pt>
                <c:pt idx="21">
                  <c:v>2.2999999999999998</c:v>
                </c:pt>
                <c:pt idx="22">
                  <c:v>2.4</c:v>
                </c:pt>
                <c:pt idx="23">
                  <c:v>3</c:v>
                </c:pt>
                <c:pt idx="24">
                  <c:v>3.8</c:v>
                </c:pt>
                <c:pt idx="25">
                  <c:v>4.0999999999999996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9311456"/>
        <c:axId val="1669317984"/>
      </c:lineChart>
      <c:catAx>
        <c:axId val="1669311456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6693179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669317984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669311456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41751675578"/>
          <c:y val="0.619102960231236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0.45272</cdr:x>
      <cdr:y>0.86677</cdr:y>
    </cdr:from>
    <cdr:to>
      <cdr:x>0.45315</cdr:x>
      <cdr:y>0.94324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324674" y="2196612"/>
          <a:ext cx="2208" cy="193794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0.45411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286" y="2314442"/>
          <a:ext cx="1981907" cy="1615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0.45313</cdr:x>
      <cdr:y>0.92748</cdr:y>
    </cdr:from>
    <cdr:to>
      <cdr:x>0.83564</cdr:x>
      <cdr:y>0.987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321178" y="2313399"/>
          <a:ext cx="1959425" cy="1484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0.83564</cdr:x>
      <cdr:y>0.86597</cdr:y>
    </cdr:from>
    <cdr:to>
      <cdr:x>0.83612</cdr:x>
      <cdr:y>0.9447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V="1">
          <a:off x="4280598" y="2159967"/>
          <a:ext cx="2464" cy="19637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0.83564</cdr:x>
      <cdr:y>0.92657</cdr:y>
    </cdr:from>
    <cdr:to>
      <cdr:x>0.92783</cdr:x>
      <cdr:y>0.97784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4280607" y="2311120"/>
          <a:ext cx="472248" cy="1278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0.45139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39917" y="2398896"/>
          <a:ext cx="1971204" cy="1697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1960" y="1601600"/>
          <a:ext cx="4394482" cy="72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0.06743</cdr:x>
      <cdr:y>0.29385</cdr:y>
    </cdr:from>
    <cdr:to>
      <cdr:x>0.92846</cdr:x>
      <cdr:y>0.29509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44123" y="756072"/>
          <a:ext cx="4394482" cy="319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0.40108</cdr:x>
      <cdr:y>0.30414</cdr:y>
    </cdr:from>
    <cdr:to>
      <cdr:x>0.58253</cdr:x>
      <cdr:y>0.40044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53512" y="784103"/>
          <a:ext cx="929025" cy="2482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0.51583</cdr:x>
      <cdr:y>0.38152</cdr:y>
    </cdr:from>
    <cdr:to>
      <cdr:x>0.55772</cdr:x>
      <cdr:y>0.4548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641032" y="983597"/>
          <a:ext cx="214477" cy="18892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0.14293</cdr:x>
      <cdr:y>0.31128</cdr:y>
    </cdr:from>
    <cdr:to>
      <cdr:x>0.35449</cdr:x>
      <cdr:y>0.45649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731788" y="802511"/>
          <a:ext cx="1083188" cy="3743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0.34505</cdr:x>
      <cdr:y>0.29159</cdr:y>
    </cdr:from>
    <cdr:to>
      <cdr:x>0.39713</cdr:x>
      <cdr:y>0.37976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766643" y="751748"/>
          <a:ext cx="266650" cy="22731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0.34418</cdr:x>
      <cdr:y>0.37996</cdr:y>
    </cdr:from>
    <cdr:to>
      <cdr:x>0.48075</cdr:x>
      <cdr:y>0.61814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762189" y="979575"/>
          <a:ext cx="699239" cy="61405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0.45041</cdr:x>
      <cdr:y>0.93187</cdr:y>
    </cdr:from>
    <cdr:to>
      <cdr:x>0.83213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2306097" y="2402454"/>
          <a:ext cx="1954404" cy="1631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0.83344</cdr:x>
      <cdr:y>0.93288</cdr:y>
    </cdr:from>
    <cdr:to>
      <cdr:x>0.93204</cdr:x>
      <cdr:y>0.99938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4267199" y="2405063"/>
          <a:ext cx="50482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0.83213</cdr:x>
      <cdr:y>0.86867</cdr:y>
    </cdr:from>
    <cdr:to>
      <cdr:x>0.83239</cdr:x>
      <cdr:y>0.95101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V="1">
          <a:off x="4260501" y="2239518"/>
          <a:ext cx="1340" cy="21228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0.45085</cdr:x>
      <cdr:y>0.86735</cdr:y>
    </cdr:from>
    <cdr:to>
      <cdr:x>0.45113</cdr:x>
      <cdr:y>0.94923</cdr:y>
    </cdr:to>
    <cdr:sp macro="" textlink="">
      <cdr:nvSpPr>
        <cdr:cNvPr id="24" name="Łącznik prosty 23"/>
        <cdr:cNvSpPr/>
      </cdr:nvSpPr>
      <cdr:spPr bwMode="auto">
        <a:xfrm xmlns:a="http://schemas.openxmlformats.org/drawingml/2006/main" flipH="1" flipV="1">
          <a:off x="2308354" y="2236115"/>
          <a:ext cx="1431" cy="2110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0.44998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2453" y="2308016"/>
          <a:ext cx="1972597" cy="159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0.44998</cdr:x>
      <cdr:y>0.85565</cdr:y>
    </cdr:from>
    <cdr:to>
      <cdr:x>0.45039</cdr:x>
      <cdr:y>0.92848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305049" y="2146184"/>
          <a:ext cx="2093" cy="18267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0.45167</cdr:x>
      <cdr:y>0.92338</cdr:y>
    </cdr:from>
    <cdr:to>
      <cdr:x>0.835</cdr:x>
      <cdr:y>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313710" y="2317001"/>
          <a:ext cx="1963601" cy="1921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0.83418</cdr:x>
      <cdr:y>0.8553</cdr:y>
    </cdr:from>
    <cdr:to>
      <cdr:x>0.83445</cdr:x>
      <cdr:y>0.92991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H="1" flipV="1">
          <a:off x="4289020" y="2190147"/>
          <a:ext cx="1389" cy="19105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0.83448</cdr:x>
      <cdr:y>0.92301</cdr:y>
    </cdr:from>
    <cdr:to>
      <cdr:x>0.93303</cdr:x>
      <cdr:y>0.99136</cdr:y>
    </cdr:to>
    <cdr:sp macro="" textlink="">
      <cdr:nvSpPr>
        <cdr:cNvPr id="10" name="pole tekstowe 1"/>
        <cdr:cNvSpPr txBox="1"/>
      </cdr:nvSpPr>
      <cdr:spPr>
        <a:xfrm xmlns:a="http://schemas.openxmlformats.org/drawingml/2006/main">
          <a:off x="4274680" y="2315137"/>
          <a:ext cx="504832" cy="1714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2020</a:t>
          </a:r>
          <a:endParaRPr lang="en-GB" sz="800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CPI_03_2020.docx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8CB56AE7-265F-4384-A56C-D2F8BCDFC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91726-5280-4B88-9036-DA2B061B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Dziewit Mirosław</cp:lastModifiedBy>
  <cp:revision>4</cp:revision>
  <cp:lastPrinted>2019-04-12T07:02:00Z</cp:lastPrinted>
  <dcterms:created xsi:type="dcterms:W3CDTF">2020-04-15T07:21:00Z</dcterms:created>
  <dcterms:modified xsi:type="dcterms:W3CDTF">2020-04-15T10:35:00Z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GUS-HU03.6362</vt:lpwstr>
  </property>
  <property fmtid="{D5CDD505-2E9C-101B-9397-08002B2CF9AE}" pid="4" name="UNPPisma">
    <vt:lpwstr>2020-71039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Sobocińska Aleksandra</vt:lpwstr>
  </property>
  <property fmtid="{D5CDD505-2E9C-101B-9397-08002B2CF9AE}" pid="8" name="AutorInicjaly">
    <vt:lpwstr>AS</vt:lpwstr>
  </property>
  <property fmtid="{D5CDD505-2E9C-101B-9397-08002B2CF9AE}" pid="9" name="AutorNrTelefonu">
    <vt:lpwstr>(22) 608-3512</vt:lpwstr>
  </property>
  <property fmtid="{D5CDD505-2E9C-101B-9397-08002B2CF9AE}" pid="10" name="Stanowisko">
    <vt:lpwstr>główny specjalista</vt:lpwstr>
  </property>
  <property fmtid="{D5CDD505-2E9C-101B-9397-08002B2CF9AE}" pid="11" name="OpisPisma">
    <vt:lpwstr>Informacja sygnalna "Wskaźniki cen towarów i usług konsumpcyjnych w marcu 2020 r.” (EMBARGO: 10:00 15.04.2020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2020-04-15</vt:lpwstr>
  </property>
  <property fmtid="{D5CDD505-2E9C-101B-9397-08002B2CF9AE}" pid="15" name="Wydzial">
    <vt:lpwstr>Wydział Cen Konsumpcyjnych</vt:lpwstr>
  </property>
  <property fmtid="{D5CDD505-2E9C-101B-9397-08002B2CF9AE}" pid="16" name="KodWydzialu">
    <vt:lpwstr>HU-03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Cen Konsumpcyjnych(HU-03)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