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B60C1F" w:rsidRDefault="00685123" w:rsidP="00685123">
      <w:pPr>
        <w:pStyle w:val="tytuinformacji"/>
      </w:pPr>
      <w:bookmarkStart w:id="0" w:name="_GoBack"/>
      <w:bookmarkEnd w:id="0"/>
      <w:r w:rsidRPr="00B60C1F">
        <w:t>Wskaźniki cen towarów i usług konsumpcyjnych w </w:t>
      </w:r>
      <w:r w:rsidR="00D7075D">
        <w:t>lutym 2020</w:t>
      </w:r>
      <w:r w:rsidR="00EE696D" w:rsidRPr="00B60C1F">
        <w:t xml:space="preserve"> r.</w:t>
      </w:r>
    </w:p>
    <w:p w:rsidR="00AD4947" w:rsidRPr="00B60C1F" w:rsidRDefault="00AD4947" w:rsidP="00AD4947">
      <w:pPr>
        <w:pStyle w:val="tytuinformacji"/>
        <w:rPr>
          <w:sz w:val="32"/>
        </w:rPr>
      </w:pPr>
    </w:p>
    <w:p w:rsidR="00E82DA4" w:rsidRDefault="00E83887" w:rsidP="00E82DA4">
      <w:pPr>
        <w:pStyle w:val="LID"/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0;margin-top:3.2pt;width:2in;height:94.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<v:textbox style="mso-next-textbox:#_x0000_s1073">
              <w:txbxContent>
                <w:p w:rsidR="00342186" w:rsidRPr="00D538E4" w:rsidRDefault="00342186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18819288" wp14:editId="3DDF2447">
                        <wp:extent cx="334645" cy="334645"/>
                        <wp:effectExtent l="0" t="0" r="0" b="0"/>
                        <wp:docPr id="8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 xml:space="preserve"> 4,7%</w:t>
                  </w:r>
                </w:p>
                <w:p w:rsidR="00342186" w:rsidRDefault="00342186" w:rsidP="00D7075D">
                  <w:pPr>
                    <w:pStyle w:val="tekstnaniebieskimtle"/>
                  </w:pPr>
                  <w:r>
                    <w:t xml:space="preserve">wzrost w porównaniu </w:t>
                  </w:r>
                </w:p>
                <w:p w:rsidR="00342186" w:rsidRDefault="00342186" w:rsidP="00D7075D">
                  <w:pPr>
                    <w:pStyle w:val="tekstnaniebieskimtle"/>
                  </w:pPr>
                  <w:r>
                    <w:t xml:space="preserve">z analogicznym miesiącem </w:t>
                  </w:r>
                </w:p>
                <w:p w:rsidR="00342186" w:rsidRPr="00D538E4" w:rsidRDefault="00342186" w:rsidP="00D7075D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087247">
        <w:t xml:space="preserve">Ceny </w:t>
      </w:r>
      <w:r w:rsidR="00E82DA4">
        <w:t>towarów i usług konsumpcyjnych w lutym 2020 r. w</w:t>
      </w:r>
      <w:r w:rsidR="00087247">
        <w:t> porównaniu z analo</w:t>
      </w:r>
      <w:r w:rsidR="00E82DA4">
        <w:t xml:space="preserve">gicznym miesiącem ub. roku wzrosły </w:t>
      </w:r>
      <w:r w:rsidR="00E82DA4" w:rsidRPr="00F004D1">
        <w:t xml:space="preserve">o </w:t>
      </w:r>
      <w:r w:rsidR="00A3441D" w:rsidRPr="00F004D1">
        <w:t>4,7</w:t>
      </w:r>
      <w:r w:rsidR="00E82DA4" w:rsidRPr="00F004D1">
        <w:t xml:space="preserve">% (przy wzroście cen usług – </w:t>
      </w:r>
      <w:r w:rsidR="0072703F">
        <w:t>o 6,4</w:t>
      </w:r>
      <w:r w:rsidR="00E82DA4" w:rsidRPr="00F004D1">
        <w:t>% i</w:t>
      </w:r>
      <w:r w:rsidR="00087247" w:rsidRPr="00F004D1">
        <w:t> </w:t>
      </w:r>
      <w:r w:rsidR="00F004D1" w:rsidRPr="00F004D1">
        <w:t>towarów – o 4,1</w:t>
      </w:r>
      <w:r w:rsidR="00E82DA4" w:rsidRPr="00F004D1">
        <w:t>%).</w:t>
      </w:r>
    </w:p>
    <w:p w:rsidR="00E82DA4" w:rsidRPr="00F004D1" w:rsidRDefault="00E82DA4" w:rsidP="00E82DA4">
      <w:pPr>
        <w:pStyle w:val="LID"/>
        <w:spacing w:before="0" w:after="0"/>
      </w:pPr>
      <w:r>
        <w:t>W stosunku do poprzedniego miesiąca ceny towarów i</w:t>
      </w:r>
      <w:r w:rsidR="00087247">
        <w:t> </w:t>
      </w:r>
      <w:r>
        <w:t xml:space="preserve">usług </w:t>
      </w:r>
      <w:r w:rsidRPr="00F004D1">
        <w:t xml:space="preserve">wzrosły </w:t>
      </w:r>
      <w:r w:rsidR="00F004D1" w:rsidRPr="00F004D1">
        <w:t>o 0,7</w:t>
      </w:r>
      <w:r w:rsidRPr="00F004D1">
        <w:t xml:space="preserve">% (przy wzroście cen </w:t>
      </w:r>
      <w:r w:rsidR="00F004D1" w:rsidRPr="00F004D1">
        <w:t>usług</w:t>
      </w:r>
    </w:p>
    <w:p w:rsidR="00D538E4" w:rsidRDefault="00F004D1" w:rsidP="00E82DA4">
      <w:pPr>
        <w:pStyle w:val="LID"/>
        <w:spacing w:before="0" w:after="360"/>
      </w:pPr>
      <w:r w:rsidRPr="00F004D1">
        <w:t>– o 1,1</w:t>
      </w:r>
      <w:r w:rsidR="00E82DA4" w:rsidRPr="00F004D1">
        <w:t xml:space="preserve">% i </w:t>
      </w:r>
      <w:r w:rsidRPr="00F004D1">
        <w:t>towarów o 0,5%</w:t>
      </w:r>
      <w:r w:rsidR="00E82DA4" w:rsidRPr="00F004D1">
        <w:t>).</w:t>
      </w:r>
    </w:p>
    <w:p w:rsidR="00342186" w:rsidRDefault="00342186" w:rsidP="00342186">
      <w:pPr>
        <w:pStyle w:val="LID"/>
        <w:spacing w:before="0" w:after="0"/>
      </w:pPr>
    </w:p>
    <w:p w:rsidR="00AD4947" w:rsidRDefault="00AD4947" w:rsidP="00342186">
      <w:pPr>
        <w:pStyle w:val="tytuwykresu"/>
        <w:spacing w:after="240"/>
        <w:rPr>
          <w:bCs/>
          <w:shd w:val="clear" w:color="auto" w:fill="FFFFFF"/>
        </w:rPr>
      </w:pPr>
      <w:r w:rsidRPr="00F004D1">
        <w:t>Tablica 1.</w:t>
      </w:r>
      <w:r w:rsidRPr="00F004D1">
        <w:rPr>
          <w:shd w:val="clear" w:color="auto" w:fill="FFFFFF"/>
        </w:rPr>
        <w:t xml:space="preserve"> </w:t>
      </w:r>
      <w:r w:rsidRPr="00F004D1">
        <w:rPr>
          <w:bCs/>
          <w:shd w:val="clear" w:color="auto" w:fill="FFFFFF"/>
        </w:rPr>
        <w:t xml:space="preserve">Wskaźniki cen towarów i usług konsumpcyjnych w styczniu i </w:t>
      </w:r>
      <w:r w:rsidR="00D7075D" w:rsidRPr="00F004D1">
        <w:t>lutym 2020</w:t>
      </w:r>
      <w:r w:rsidRPr="00F004D1">
        <w:t> </w:t>
      </w:r>
      <w:r w:rsidRPr="00F004D1">
        <w:rPr>
          <w:bCs/>
          <w:shd w:val="clear" w:color="auto" w:fill="FFFFFF"/>
        </w:rPr>
        <w:t>r.</w:t>
      </w:r>
    </w:p>
    <w:tbl>
      <w:tblPr>
        <w:tblStyle w:val="Siatkatabelijasna11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58"/>
        <w:gridCol w:w="858"/>
        <w:gridCol w:w="858"/>
        <w:gridCol w:w="858"/>
        <w:gridCol w:w="858"/>
        <w:gridCol w:w="858"/>
        <w:gridCol w:w="920"/>
      </w:tblGrid>
      <w:tr w:rsidR="00516A50" w:rsidRPr="00D7075D" w:rsidTr="005341B7">
        <w:trPr>
          <w:trHeight w:val="57"/>
        </w:trPr>
        <w:tc>
          <w:tcPr>
            <w:tcW w:w="2858" w:type="dxa"/>
            <w:vMerge w:val="restart"/>
            <w:vAlign w:val="center"/>
          </w:tcPr>
          <w:p w:rsidR="00516A50" w:rsidRPr="00D7075D" w:rsidRDefault="00516A50" w:rsidP="00516A5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  <w:highlight w:val="yellow"/>
              </w:rPr>
            </w:pPr>
            <w:r w:rsidRPr="00B21A4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716" w:type="dxa"/>
            <w:gridSpan w:val="2"/>
            <w:vAlign w:val="center"/>
          </w:tcPr>
          <w:p w:rsidR="00516A50" w:rsidRPr="00B21A47" w:rsidRDefault="00087247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I 2020</w:t>
            </w:r>
            <w:r w:rsidR="00516A50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574" w:type="dxa"/>
            <w:gridSpan w:val="3"/>
            <w:vAlign w:val="center"/>
          </w:tcPr>
          <w:p w:rsidR="00516A50" w:rsidRPr="00B21A47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II </w:t>
            </w:r>
            <w:r w:rsidR="00087247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920" w:type="dxa"/>
          </w:tcPr>
          <w:p w:rsidR="00516A50" w:rsidRPr="00B21A47" w:rsidRDefault="00087247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I-II 2020</w:t>
            </w:r>
          </w:p>
        </w:tc>
      </w:tr>
      <w:tr w:rsidR="00516A50" w:rsidRPr="00D7075D" w:rsidTr="005341B7">
        <w:trPr>
          <w:trHeight w:val="57"/>
        </w:trPr>
        <w:tc>
          <w:tcPr>
            <w:tcW w:w="2858" w:type="dxa"/>
            <w:vMerge/>
            <w:tcBorders>
              <w:bottom w:val="single" w:sz="12" w:space="0" w:color="212492"/>
            </w:tcBorders>
            <w:vAlign w:val="center"/>
          </w:tcPr>
          <w:p w:rsidR="00516A50" w:rsidRPr="00D7075D" w:rsidRDefault="00516A50" w:rsidP="00516A5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21A47" w:rsidRDefault="00516A50" w:rsidP="00087247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I 201</w:t>
            </w:r>
            <w:r w:rsidR="00087247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21A47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XII 201</w:t>
            </w:r>
            <w:r w:rsidR="00087247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21A47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II 201</w:t>
            </w:r>
            <w:r w:rsidR="00087247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21A47" w:rsidRDefault="00516A50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XII 201</w:t>
            </w:r>
            <w:r w:rsidR="00087247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58" w:type="dxa"/>
            <w:tcBorders>
              <w:bottom w:val="single" w:sz="12" w:space="0" w:color="212492"/>
            </w:tcBorders>
            <w:vAlign w:val="center"/>
          </w:tcPr>
          <w:p w:rsidR="00516A50" w:rsidRPr="00B21A47" w:rsidRDefault="00087247" w:rsidP="007B5183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I 2020</w:t>
            </w:r>
            <w:r w:rsidR="00516A50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516A50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20" w:type="dxa"/>
            <w:tcBorders>
              <w:bottom w:val="single" w:sz="12" w:space="0" w:color="212492"/>
            </w:tcBorders>
            <w:vAlign w:val="center"/>
          </w:tcPr>
          <w:p w:rsidR="00516A50" w:rsidRPr="00B21A47" w:rsidRDefault="00516A50" w:rsidP="00087247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I-II 201</w:t>
            </w:r>
            <w:r w:rsidR="00087247"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>= =100</w:t>
            </w:r>
          </w:p>
        </w:tc>
      </w:tr>
      <w:tr w:rsidR="00B21A47" w:rsidRPr="00D7075D" w:rsidTr="002400CF">
        <w:trPr>
          <w:trHeight w:val="57"/>
        </w:trPr>
        <w:tc>
          <w:tcPr>
            <w:tcW w:w="285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21A47" w:rsidRPr="00B21A47" w:rsidRDefault="00B21A47" w:rsidP="00342186">
            <w:pPr>
              <w:pStyle w:val="Nagwek5"/>
              <w:tabs>
                <w:tab w:val="right" w:leader="dot" w:pos="4156"/>
              </w:tabs>
              <w:spacing w:before="80" w:after="8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21A47" w:rsidRPr="00B21A47" w:rsidRDefault="00B21A47" w:rsidP="002400CF">
            <w:pPr>
              <w:spacing w:before="80" w:after="8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21A47">
              <w:rPr>
                <w:rFonts w:cs="Arial"/>
                <w:b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21A47" w:rsidRPr="00B21A47" w:rsidRDefault="00B21A47" w:rsidP="002400CF">
            <w:pPr>
              <w:spacing w:before="80" w:after="8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21A47">
              <w:rPr>
                <w:rFonts w:cs="Arial"/>
                <w:b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21A47" w:rsidRPr="00B21A47" w:rsidRDefault="00B21A47" w:rsidP="002400CF">
            <w:pPr>
              <w:spacing w:before="80" w:after="8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21A47">
              <w:rPr>
                <w:rFonts w:cs="Arial"/>
                <w:b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21A47" w:rsidRPr="00B21A47" w:rsidRDefault="00B21A47" w:rsidP="002400CF">
            <w:pPr>
              <w:spacing w:before="80" w:after="8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21A47">
              <w:rPr>
                <w:rFonts w:cs="Arial"/>
                <w:b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5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21A47" w:rsidRPr="00B21A47" w:rsidRDefault="00B21A47" w:rsidP="002400CF">
            <w:pPr>
              <w:spacing w:before="80" w:after="8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21A47">
              <w:rPr>
                <w:rFonts w:cs="Arial"/>
                <w:b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2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21A47" w:rsidRPr="00B21A47" w:rsidRDefault="00B21A47" w:rsidP="002400CF">
            <w:pPr>
              <w:spacing w:before="80" w:after="8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21A47">
              <w:rPr>
                <w:rFonts w:cs="Arial"/>
                <w:b/>
                <w:color w:val="000000" w:themeColor="text1"/>
                <w:sz w:val="16"/>
                <w:szCs w:val="16"/>
              </w:rPr>
              <w:t>104,5</w:t>
            </w:r>
          </w:p>
        </w:tc>
      </w:tr>
      <w:tr w:rsidR="00E03AC4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B21A47" w:rsidRDefault="00E03AC4" w:rsidP="00342186">
            <w:pPr>
              <w:pStyle w:val="Nagwek9"/>
              <w:tabs>
                <w:tab w:val="right" w:leader="dot" w:pos="4156"/>
              </w:tabs>
              <w:spacing w:before="80" w:after="8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Ż</w:t>
            </w:r>
            <w:r w:rsidR="001B145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ywność i napoje </w:t>
            </w:r>
            <w:r w:rsidR="001B145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</w:tr>
      <w:tr w:rsidR="00E03AC4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B21A47" w:rsidRDefault="00E03AC4" w:rsidP="00342186">
            <w:pPr>
              <w:pStyle w:val="Nagwek9"/>
              <w:tabs>
                <w:tab w:val="right" w:leader="dot" w:pos="4156"/>
              </w:tabs>
              <w:spacing w:before="80" w:after="8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B21A4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03AC4" w:rsidRPr="00E03AC4" w:rsidRDefault="00E03AC4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03AC4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</w:tr>
      <w:tr w:rsidR="00D439FC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439FC" w:rsidRPr="00B21A47" w:rsidRDefault="00D439FC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439FC" w:rsidRPr="00D439FC" w:rsidRDefault="00D439FC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439FC">
              <w:rPr>
                <w:rFonts w:cs="Arial"/>
                <w:color w:val="000000" w:themeColor="text1"/>
                <w:sz w:val="16"/>
                <w:szCs w:val="16"/>
              </w:rPr>
              <w:t>98,4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439FC" w:rsidRPr="00D439FC" w:rsidRDefault="00D439FC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439FC">
              <w:rPr>
                <w:rFonts w:cs="Arial"/>
                <w:color w:val="000000" w:themeColor="text1"/>
                <w:sz w:val="16"/>
                <w:szCs w:val="16"/>
              </w:rPr>
              <w:t>95,5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439FC" w:rsidRPr="00D439FC" w:rsidRDefault="00D439FC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439FC">
              <w:rPr>
                <w:rFonts w:cs="Arial"/>
                <w:color w:val="000000" w:themeColor="text1"/>
                <w:sz w:val="16"/>
                <w:szCs w:val="16"/>
              </w:rPr>
              <w:t>99,0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439FC" w:rsidRPr="00D439FC" w:rsidRDefault="00D439FC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439FC">
              <w:rPr>
                <w:rFonts w:cs="Arial"/>
                <w:color w:val="000000" w:themeColor="text1"/>
                <w:sz w:val="16"/>
                <w:szCs w:val="16"/>
              </w:rPr>
              <w:t>94,3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439FC" w:rsidRPr="00D439FC" w:rsidRDefault="00D439FC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439FC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439FC" w:rsidRPr="00D439FC" w:rsidRDefault="00D439FC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439FC">
              <w:rPr>
                <w:rFonts w:cs="Arial"/>
                <w:color w:val="000000" w:themeColor="text1"/>
                <w:sz w:val="16"/>
                <w:szCs w:val="16"/>
              </w:rPr>
              <w:t>98,7</w:t>
            </w:r>
          </w:p>
        </w:tc>
      </w:tr>
      <w:tr w:rsidR="00B765C0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pStyle w:val="Nagwek2"/>
              <w:tabs>
                <w:tab w:val="right" w:leader="dot" w:pos="4156"/>
              </w:tabs>
              <w:spacing w:before="80" w:after="8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B21A4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106,2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106,8</w:t>
            </w:r>
          </w:p>
        </w:tc>
      </w:tr>
      <w:tr w:rsidR="00B765C0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 prowadzenie gospodarstwa domowego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</w:tr>
      <w:tr w:rsidR="00B765C0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</w:tr>
      <w:tr w:rsidR="00B765C0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98,7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</w:tr>
      <w:tr w:rsidR="00B765C0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</w:tr>
      <w:tr w:rsidR="00B765C0" w:rsidRPr="00D7075D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</w:tr>
      <w:tr w:rsidR="00B765C0" w:rsidRPr="00B765C0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</w:tr>
      <w:tr w:rsidR="00B765C0" w:rsidRPr="00B765C0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106,3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5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2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105,9</w:t>
            </w:r>
          </w:p>
        </w:tc>
      </w:tr>
      <w:tr w:rsidR="00B765C0" w:rsidRPr="00B765C0" w:rsidTr="002400CF">
        <w:trPr>
          <w:trHeight w:val="57"/>
        </w:trPr>
        <w:tc>
          <w:tcPr>
            <w:tcW w:w="2858" w:type="dxa"/>
            <w:tcBorders>
              <w:top w:val="single" w:sz="4" w:space="0" w:color="212492"/>
              <w:bottom w:val="nil"/>
            </w:tcBorders>
            <w:vAlign w:val="center"/>
          </w:tcPr>
          <w:p w:rsidR="00B765C0" w:rsidRPr="00B21A47" w:rsidRDefault="00B765C0" w:rsidP="00342186">
            <w:pPr>
              <w:tabs>
                <w:tab w:val="right" w:leader="dot" w:pos="4156"/>
              </w:tabs>
              <w:spacing w:before="80" w:after="80"/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21A47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58" w:type="dxa"/>
            <w:tcBorders>
              <w:top w:val="single" w:sz="4" w:space="0" w:color="212492"/>
              <w:bottom w:val="nil"/>
            </w:tcBorders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20" w:type="dxa"/>
            <w:tcBorders>
              <w:top w:val="single" w:sz="4" w:space="0" w:color="212492"/>
              <w:bottom w:val="nil"/>
            </w:tcBorders>
            <w:vAlign w:val="center"/>
          </w:tcPr>
          <w:p w:rsidR="00B765C0" w:rsidRPr="00B765C0" w:rsidRDefault="00B765C0" w:rsidP="002400CF">
            <w:pPr>
              <w:spacing w:before="80" w:after="8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65C0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</w:tr>
    </w:tbl>
    <w:p w:rsidR="005877DE" w:rsidRPr="00B60C1F" w:rsidRDefault="005877DE" w:rsidP="005341B7">
      <w:pPr>
        <w:tabs>
          <w:tab w:val="right" w:leader="dot" w:pos="4156"/>
        </w:tabs>
        <w:spacing w:before="240"/>
        <w:rPr>
          <w:rFonts w:cstheme="majorBidi"/>
          <w:bCs/>
          <w:color w:val="000000" w:themeColor="text1"/>
          <w:sz w:val="16"/>
          <w:szCs w:val="16"/>
        </w:rPr>
      </w:pPr>
      <w:r w:rsidRPr="00B21A47">
        <w:rPr>
          <w:rFonts w:cstheme="majorBidi"/>
          <w:bCs/>
          <w:color w:val="000000" w:themeColor="text1"/>
          <w:sz w:val="16"/>
          <w:szCs w:val="16"/>
        </w:rPr>
        <w:t>* Dane obliczone po dokonaniu corocznej zmiany systemu wag, który stanowi struktura wydatków gospodarstw domowych (bez spożycia naturalnego) z roku poprzedzającego rok badany.</w:t>
      </w:r>
      <w:r w:rsidRPr="00B60C1F">
        <w:rPr>
          <w:rFonts w:cstheme="majorBidi"/>
          <w:bCs/>
          <w:color w:val="000000" w:themeColor="text1"/>
          <w:sz w:val="16"/>
          <w:szCs w:val="16"/>
        </w:rPr>
        <w:t xml:space="preserve"> </w:t>
      </w:r>
    </w:p>
    <w:p w:rsidR="005877DE" w:rsidRPr="00B60C1F" w:rsidRDefault="00E83887" w:rsidP="005877DE">
      <w:pPr>
        <w:pStyle w:val="Nagwek1"/>
      </w:pPr>
      <w:r>
        <w:rPr>
          <w:noProof/>
        </w:rPr>
        <w:lastRenderedPageBreak/>
        <w:pict>
          <v:shape id="_x0000_s1055" type="#_x0000_t202" style="position:absolute;margin-left:414.75pt;margin-top:5.65pt;width:135.85pt;height:105.85pt;z-index:-251554816;visibility:visible;mso-wrap-distance-top:3.6pt;mso-wrap-distance-bottom:3.6pt;mso-width-relative:margin;mso-height-relative:margin" wrapcoords="0 0" filled="f" stroked="f">
            <v:textbox style="mso-next-textbox:#_x0000_s1055">
              <w:txbxContent>
                <w:p w:rsidR="00342186" w:rsidRPr="009F5815" w:rsidRDefault="00342186" w:rsidP="009F5815">
                  <w:pPr>
                    <w:rPr>
                      <w:szCs w:val="18"/>
                    </w:rPr>
                  </w:pPr>
                  <w:r w:rsidRPr="009C23D1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styczniu 2020 r. w stosunku do stycznia 2019 r. ceny towarów i usług konsumpcyjnych wzrosły o 4,3% i były na niższym poziomie wobec wstępnie szacowanego wzrostu (o 4,4%)</w:t>
                  </w:r>
                </w:p>
              </w:txbxContent>
            </v:textbox>
            <w10:wrap type="tight"/>
          </v:shape>
        </w:pict>
      </w:r>
      <w:r w:rsidR="005877DE" w:rsidRPr="00B60C1F">
        <w:rPr>
          <w:shd w:val="clear" w:color="auto" w:fill="FFFFFF"/>
        </w:rPr>
        <w:t>Coroczna zmiana systemu wag</w:t>
      </w:r>
    </w:p>
    <w:p w:rsidR="005877DE" w:rsidRPr="00B60C1F" w:rsidRDefault="005877DE" w:rsidP="00516A50">
      <w:r w:rsidRPr="00B60C1F">
        <w:t>Główny Urząd Statystyczny, podobnie jak w latach ubiegłych, w lutym br. dokonał aktualizacji systemu wag stosowanego w obliczeniach wskaźnika cen towarów i usług konsumpcyjnych. System wag oparty jest na strukturze wydatków gospodarstw domowych na zakup towarów i usług konsumpcyjnych z roku poprzedzającego rok badany, uzyskanej z badania budżetów gospodarstw domowych. W świetle tych badań w wydatkach konsumpcyjnych gospodarstw domowych w 201</w:t>
      </w:r>
      <w:r w:rsidR="00D7075D">
        <w:t>9</w:t>
      </w:r>
      <w:r w:rsidRPr="00B60C1F">
        <w:t xml:space="preserve"> r. nastąpiły różnice w poszczególnych grupach mających znaczenie</w:t>
      </w:r>
      <w:r w:rsidR="00283B82">
        <w:t xml:space="preserve"> </w:t>
      </w:r>
      <w:r w:rsidRPr="00B60C1F">
        <w:t>w strukturze konsumpcji.</w:t>
      </w:r>
    </w:p>
    <w:p w:rsidR="005877DE" w:rsidRPr="00B60C1F" w:rsidRDefault="005877DE" w:rsidP="00EB02C9">
      <w:r w:rsidRPr="000F6E98">
        <w:t>Wzrósł m. in. udział wydatków w zakresie</w:t>
      </w:r>
      <w:r w:rsidR="007B5183" w:rsidRPr="000F6E98">
        <w:t xml:space="preserve"> </w:t>
      </w:r>
      <w:r w:rsidR="000F6E98" w:rsidRPr="000F6E98">
        <w:t>łączności, żywn</w:t>
      </w:r>
      <w:r w:rsidR="00422E75">
        <w:t>ości i napojów bezalkoholowych</w:t>
      </w:r>
      <w:r w:rsidR="007B5183" w:rsidRPr="000F6E98">
        <w:t xml:space="preserve">, </w:t>
      </w:r>
      <w:r w:rsidR="000F6E98" w:rsidRPr="000F6E98">
        <w:t>rekreacji i kultury</w:t>
      </w:r>
      <w:r w:rsidR="007B5183" w:rsidRPr="000F6E98">
        <w:t xml:space="preserve"> oraz </w:t>
      </w:r>
      <w:r w:rsidR="000F6E98" w:rsidRPr="000F6E98">
        <w:t>zdrowia</w:t>
      </w:r>
      <w:r w:rsidR="00EB02C9" w:rsidRPr="000F6E98">
        <w:t>.</w:t>
      </w:r>
      <w:r w:rsidRPr="000F6E98">
        <w:t xml:space="preserve"> Obniżył się natomiast m. in. udział wydatków w </w:t>
      </w:r>
      <w:r w:rsidR="007B5183" w:rsidRPr="000F6E98">
        <w:t>zakresie uż</w:t>
      </w:r>
      <w:r w:rsidR="007D660D" w:rsidRPr="000F6E98">
        <w:t>ytkowania mieszkania lub domu i </w:t>
      </w:r>
      <w:r w:rsidR="00F4272F" w:rsidRPr="000F6E98">
        <w:t>nośników</w:t>
      </w:r>
      <w:r w:rsidR="007B5183" w:rsidRPr="000F6E98">
        <w:t xml:space="preserve"> energii, </w:t>
      </w:r>
      <w:r w:rsidR="000F6E98" w:rsidRPr="000F6E98">
        <w:t>transportu oraz napojów alkoholowych i wyrobów tytoniowych</w:t>
      </w:r>
      <w:r w:rsidR="007D660D" w:rsidRPr="000F6E98">
        <w:t>. W związku z </w:t>
      </w:r>
      <w:r w:rsidRPr="000F6E98">
        <w:t>tym odnotowano inny wpływ zmian cen w poszczególnych gr</w:t>
      </w:r>
      <w:r w:rsidR="007D660D" w:rsidRPr="000F6E98">
        <w:t xml:space="preserve">upach na wskaźnik cen towarów i </w:t>
      </w:r>
      <w:r w:rsidRPr="000F6E98">
        <w:t xml:space="preserve">usług konsumpcyjnych ogółem, niż obserwowany przy obliczeniach wstępnych danych za styczeń br. W styczniu br. w stosunku do stycznia ub. roku ceny towarów i usług konsumpcyjnych wzrosły o </w:t>
      </w:r>
      <w:r w:rsidR="000F6E98" w:rsidRPr="000F6E98">
        <w:t>4</w:t>
      </w:r>
      <w:r w:rsidRPr="000F6E98">
        <w:t>,</w:t>
      </w:r>
      <w:r w:rsidR="000F6E98" w:rsidRPr="000F6E98">
        <w:t>3</w:t>
      </w:r>
      <w:r w:rsidRPr="000F6E98">
        <w:t>%</w:t>
      </w:r>
      <w:r w:rsidR="007D660D" w:rsidRPr="000F6E98">
        <w:t xml:space="preserve">, </w:t>
      </w:r>
      <w:r w:rsidRPr="000F6E98">
        <w:t>wobec wstępnie szacowanego wzrostu</w:t>
      </w:r>
      <w:r w:rsidR="007D660D" w:rsidRPr="000F6E98">
        <w:t xml:space="preserve"> </w:t>
      </w:r>
      <w:r w:rsidR="000F6E98" w:rsidRPr="000F6E98">
        <w:t>o 4,4</w:t>
      </w:r>
      <w:r w:rsidR="00B20A71" w:rsidRPr="000F6E98">
        <w:t>%</w:t>
      </w:r>
      <w:r w:rsidRPr="000F6E98">
        <w:t>. Według ostatecznych danych wskaźnik cen towarów i usług konsumpcyjnych za styczeń br. w stosunku do poprzedniego miesiąca</w:t>
      </w:r>
      <w:r w:rsidR="00265F3B">
        <w:t xml:space="preserve"> nie</w:t>
      </w:r>
      <w:r w:rsidRPr="000F6E98">
        <w:t xml:space="preserve"> uległ zmianie </w:t>
      </w:r>
      <w:r w:rsidR="007D660D" w:rsidRPr="00265F3B">
        <w:t>(</w:t>
      </w:r>
      <w:r w:rsidR="00265F3B" w:rsidRPr="00265F3B">
        <w:t>wzrost cen o 0,9%</w:t>
      </w:r>
      <w:r w:rsidRPr="00265F3B">
        <w:t>).</w:t>
      </w:r>
    </w:p>
    <w:p w:rsidR="005877DE" w:rsidRPr="00B60C1F" w:rsidRDefault="005877DE" w:rsidP="005877DE"/>
    <w:p w:rsidR="005877DE" w:rsidRPr="00B60C1F" w:rsidRDefault="00C27D75" w:rsidP="008E2E57">
      <w:pPr>
        <w:pStyle w:val="tytuwykresu"/>
        <w:ind w:left="794" w:hanging="794"/>
        <w:rPr>
          <w:shd w:val="clear" w:color="auto" w:fill="FFFFFF"/>
        </w:rPr>
      </w:pPr>
      <w:r w:rsidRPr="00B60C1F">
        <w:rPr>
          <w:noProof/>
          <w:lang w:eastAsia="pl-PL"/>
        </w:rPr>
        <w:t>Tablica</w:t>
      </w:r>
      <w:r w:rsidR="005877DE" w:rsidRPr="00B60C1F">
        <w:t xml:space="preserve"> </w:t>
      </w:r>
      <w:r w:rsidRPr="00B60C1F">
        <w:t>2</w:t>
      </w:r>
      <w:r w:rsidR="005877DE" w:rsidRPr="00B60C1F">
        <w:t>.</w:t>
      </w:r>
      <w:r w:rsidR="005877DE" w:rsidRPr="00B60C1F">
        <w:rPr>
          <w:shd w:val="clear" w:color="auto" w:fill="FFFFFF"/>
        </w:rPr>
        <w:t xml:space="preserve"> </w:t>
      </w:r>
      <w:r w:rsidR="00733D55" w:rsidRPr="00B60C1F">
        <w:rPr>
          <w:shd w:val="clear" w:color="auto" w:fill="FFFFFF"/>
        </w:rPr>
        <w:t>S</w:t>
      </w:r>
      <w:r w:rsidRPr="00B60C1F">
        <w:rPr>
          <w:shd w:val="clear" w:color="auto" w:fill="FFFFFF"/>
        </w:rPr>
        <w:t>ystem</w:t>
      </w:r>
      <w:r w:rsidR="009F5815" w:rsidRPr="00B60C1F">
        <w:rPr>
          <w:shd w:val="clear" w:color="auto" w:fill="FFFFFF"/>
        </w:rPr>
        <w:t xml:space="preserve"> </w:t>
      </w:r>
      <w:r w:rsidR="005877DE" w:rsidRPr="00B60C1F">
        <w:rPr>
          <w:bCs/>
          <w:shd w:val="clear" w:color="auto" w:fill="FFFFFF"/>
        </w:rPr>
        <w:t xml:space="preserve">wag stosowany w obliczeniach wskaźników cen towarów i usług konsumpcyjnych </w:t>
      </w:r>
      <w:r w:rsidR="00D7075D">
        <w:rPr>
          <w:bCs/>
          <w:shd w:val="clear" w:color="auto" w:fill="FFFFFF"/>
        </w:rPr>
        <w:t>w latach 2016-2020</w:t>
      </w:r>
    </w:p>
    <w:tbl>
      <w:tblPr>
        <w:tblStyle w:val="Siatkatabelijasna11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27"/>
        <w:gridCol w:w="969"/>
        <w:gridCol w:w="968"/>
        <w:gridCol w:w="968"/>
        <w:gridCol w:w="968"/>
        <w:gridCol w:w="968"/>
      </w:tblGrid>
      <w:tr w:rsidR="00D7075D" w:rsidRPr="00B60C1F" w:rsidTr="00831172">
        <w:trPr>
          <w:trHeight w:val="57"/>
        </w:trPr>
        <w:tc>
          <w:tcPr>
            <w:tcW w:w="3227" w:type="dxa"/>
            <w:tcBorders>
              <w:bottom w:val="single" w:sz="12" w:space="0" w:color="212492"/>
            </w:tcBorders>
            <w:vAlign w:val="center"/>
          </w:tcPr>
          <w:p w:rsidR="00D7075D" w:rsidRPr="00B60C1F" w:rsidRDefault="00D7075D" w:rsidP="00D7075D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69" w:type="dxa"/>
            <w:tcBorders>
              <w:bottom w:val="single" w:sz="12" w:space="0" w:color="212492"/>
            </w:tcBorders>
            <w:vAlign w:val="center"/>
          </w:tcPr>
          <w:p w:rsidR="00D7075D" w:rsidRPr="00B60C1F" w:rsidRDefault="00D7075D" w:rsidP="00D7075D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D7075D" w:rsidRPr="00B60C1F" w:rsidRDefault="00D7075D" w:rsidP="00D7075D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D7075D" w:rsidRPr="00B60C1F" w:rsidRDefault="00D7075D" w:rsidP="00D7075D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D7075D" w:rsidRPr="00B60C1F" w:rsidRDefault="00D7075D" w:rsidP="00D7075D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68" w:type="dxa"/>
            <w:tcBorders>
              <w:bottom w:val="single" w:sz="12" w:space="0" w:color="212492"/>
            </w:tcBorders>
            <w:vAlign w:val="center"/>
          </w:tcPr>
          <w:p w:rsidR="00D7075D" w:rsidRPr="00B60C1F" w:rsidRDefault="00D7075D" w:rsidP="00D7075D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2020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Ż</w:t>
            </w:r>
            <w:r w:rsidR="001B145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ywność i napoje </w:t>
            </w:r>
            <w:r w:rsidR="001B145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96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24,04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24,28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24,36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24,89</w:t>
            </w:r>
          </w:p>
        </w:tc>
        <w:tc>
          <w:tcPr>
            <w:tcW w:w="96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25,24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B60C1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6,56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6,38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6,19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6,37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6,25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5,47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5,68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5,37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4,94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B60C1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21,04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20,53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20,35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19,17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18,44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 prowadzenie gospodarstwa domowego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4,99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5,14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5,70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5,80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5,45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5,56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5,69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5,12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5,29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8,72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8,63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8,74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10,34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9,89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5,20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4,87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4,18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4,54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6,63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6,89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6,92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6,44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6,62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1,01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0,97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1,07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1,15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96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5,04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5,23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5,71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6,20</w:t>
            </w:r>
          </w:p>
        </w:tc>
        <w:tc>
          <w:tcPr>
            <w:tcW w:w="96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6,12</w:t>
            </w:r>
          </w:p>
        </w:tc>
      </w:tr>
      <w:tr w:rsidR="00265F3B" w:rsidRPr="00B60C1F" w:rsidTr="009B424E">
        <w:trPr>
          <w:trHeight w:val="57"/>
        </w:trPr>
        <w:tc>
          <w:tcPr>
            <w:tcW w:w="3227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265F3B" w:rsidRPr="00B60C1F" w:rsidRDefault="00265F3B" w:rsidP="00265F3B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60C1F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969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5,78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5,51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5,55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265F3B" w:rsidRPr="00B60C1F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60C1F">
              <w:rPr>
                <w:rFonts w:cs="Arial"/>
                <w:color w:val="000000" w:themeColor="text1"/>
                <w:sz w:val="16"/>
                <w:szCs w:val="16"/>
              </w:rPr>
              <w:t>5,58</w:t>
            </w:r>
          </w:p>
        </w:tc>
        <w:tc>
          <w:tcPr>
            <w:tcW w:w="968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265F3B" w:rsidRPr="00265F3B" w:rsidRDefault="00265F3B" w:rsidP="00265F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5F3B">
              <w:rPr>
                <w:rFonts w:cs="Arial"/>
                <w:color w:val="000000" w:themeColor="text1"/>
                <w:sz w:val="16"/>
                <w:szCs w:val="16"/>
              </w:rPr>
              <w:t>5,72</w:t>
            </w:r>
          </w:p>
        </w:tc>
      </w:tr>
    </w:tbl>
    <w:p w:rsidR="00C27D75" w:rsidRPr="00B60C1F" w:rsidRDefault="00C27D75" w:rsidP="00A07F00">
      <w:pPr>
        <w:pStyle w:val="Nagwek1"/>
        <w:rPr>
          <w:shd w:val="clear" w:color="auto" w:fill="FFFFFF"/>
        </w:rPr>
      </w:pPr>
    </w:p>
    <w:p w:rsidR="00C27D75" w:rsidRPr="00B60C1F" w:rsidRDefault="00C27D75" w:rsidP="00C27D75">
      <w:pPr>
        <w:rPr>
          <w:rFonts w:ascii="Fira Sans SemiBold" w:eastAsia="Times New Roman" w:hAnsi="Fira Sans SemiBold" w:cs="Times New Roman"/>
          <w:color w:val="001D77"/>
          <w:szCs w:val="24"/>
          <w:shd w:val="clear" w:color="auto" w:fill="FFFFFF"/>
          <w:lang w:eastAsia="pl-PL"/>
        </w:rPr>
      </w:pPr>
      <w:r w:rsidRPr="00B60C1F">
        <w:rPr>
          <w:shd w:val="clear" w:color="auto" w:fill="FFFFFF"/>
        </w:rPr>
        <w:br w:type="page"/>
      </w:r>
    </w:p>
    <w:p w:rsidR="00A07F00" w:rsidRPr="00503FD4" w:rsidRDefault="00A07F00" w:rsidP="00C27D75">
      <w:pPr>
        <w:pStyle w:val="Nagwek1"/>
        <w:spacing w:before="120" w:line="240" w:lineRule="exact"/>
      </w:pPr>
      <w:r w:rsidRPr="00503FD4">
        <w:rPr>
          <w:shd w:val="clear" w:color="auto" w:fill="FFFFFF"/>
        </w:rPr>
        <w:lastRenderedPageBreak/>
        <w:t>Wpływy zmian cen na wskaźnik</w:t>
      </w:r>
      <w:r w:rsidR="00B97152" w:rsidRPr="00503FD4">
        <w:rPr>
          <w:shd w:val="clear" w:color="auto" w:fill="FFFFFF"/>
        </w:rPr>
        <w:t xml:space="preserve"> cen</w:t>
      </w:r>
      <w:r w:rsidRPr="00503FD4">
        <w:rPr>
          <w:shd w:val="clear" w:color="auto" w:fill="FFFFFF"/>
        </w:rPr>
        <w:t xml:space="preserve"> towarów i usług konsumpcyjnych ogółem</w:t>
      </w:r>
    </w:p>
    <w:p w:rsidR="00A07F00" w:rsidRPr="00B60C1F" w:rsidRDefault="00A07F00" w:rsidP="00C27D75">
      <w:r w:rsidRPr="00503FD4">
        <w:t xml:space="preserve">W lutym br. w porównaniu z poprzednim miesiącem największy wpływ na wskaźnik cen towarów i usług konsumpcyjnych ogółem miały </w:t>
      </w:r>
      <w:r w:rsidR="00CF4CEE" w:rsidRPr="00503FD4">
        <w:t>wyższe</w:t>
      </w:r>
      <w:r w:rsidRPr="00503FD4">
        <w:t xml:space="preserve"> ceny </w:t>
      </w:r>
      <w:r w:rsidR="00CF4CEE" w:rsidRPr="00503FD4">
        <w:t>w zakresie</w:t>
      </w:r>
      <w:r w:rsidR="00E41FCF" w:rsidRPr="00503FD4">
        <w:t xml:space="preserve"> </w:t>
      </w:r>
      <w:r w:rsidR="00CF4CEE" w:rsidRPr="00503FD4">
        <w:t>mieszkania</w:t>
      </w:r>
      <w:r w:rsidR="00E41FCF" w:rsidRPr="00503FD4">
        <w:t xml:space="preserve"> (o</w:t>
      </w:r>
      <w:r w:rsidR="00674A8B" w:rsidRPr="00503FD4">
        <w:t> </w:t>
      </w:r>
      <w:r w:rsidR="00503FD4" w:rsidRPr="00503FD4">
        <w:t>1,1</w:t>
      </w:r>
      <w:r w:rsidR="00E41FCF" w:rsidRPr="00503FD4">
        <w:t>%)</w:t>
      </w:r>
      <w:r w:rsidR="00CF4CEE" w:rsidRPr="00503FD4">
        <w:t xml:space="preserve">, </w:t>
      </w:r>
      <w:r w:rsidR="00916339">
        <w:t xml:space="preserve">żywności (o 0,9%), </w:t>
      </w:r>
      <w:r w:rsidR="00503FD4" w:rsidRPr="00503FD4">
        <w:t>napojów alkoholowych i wyrobów tytoniowych (o 1,7%) oraz restauracji i hoteli</w:t>
      </w:r>
      <w:r w:rsidR="00916339">
        <w:t xml:space="preserve"> (o 0,9%)</w:t>
      </w:r>
      <w:r w:rsidR="00503FD4" w:rsidRPr="00503FD4">
        <w:t xml:space="preserve">, </w:t>
      </w:r>
      <w:r w:rsidRPr="00503FD4">
        <w:t xml:space="preserve">które </w:t>
      </w:r>
      <w:r w:rsidR="00CF4CEE" w:rsidRPr="00503FD4">
        <w:t>podwyższyły</w:t>
      </w:r>
      <w:r w:rsidRPr="00503FD4">
        <w:t xml:space="preserve"> wskaźnik odpowiednio o 0,</w:t>
      </w:r>
      <w:r w:rsidR="00503FD4" w:rsidRPr="00503FD4">
        <w:t>28</w:t>
      </w:r>
      <w:r w:rsidR="00674A8B" w:rsidRPr="00503FD4">
        <w:t xml:space="preserve"> p. </w:t>
      </w:r>
      <w:r w:rsidR="00E41FCF" w:rsidRPr="00503FD4">
        <w:t>proc.</w:t>
      </w:r>
      <w:r w:rsidR="00503FD4" w:rsidRPr="00503FD4">
        <w:t>,</w:t>
      </w:r>
      <w:r w:rsidR="00CF4CEE" w:rsidRPr="00503FD4">
        <w:t xml:space="preserve"> </w:t>
      </w:r>
      <w:r w:rsidR="00DC0EA4">
        <w:t xml:space="preserve">0,21 p. proc., </w:t>
      </w:r>
      <w:r w:rsidR="00503FD4" w:rsidRPr="00503FD4">
        <w:t xml:space="preserve">0,10 p. proc. </w:t>
      </w:r>
      <w:r w:rsidR="00CF4CEE" w:rsidRPr="00503FD4">
        <w:t>i</w:t>
      </w:r>
      <w:r w:rsidR="00DC0EA4">
        <w:t> </w:t>
      </w:r>
      <w:r w:rsidR="00E41FCF" w:rsidRPr="00503FD4">
        <w:t>0,0</w:t>
      </w:r>
      <w:r w:rsidR="00503FD4" w:rsidRPr="00503FD4">
        <w:t>6</w:t>
      </w:r>
      <w:r w:rsidR="00E41FCF" w:rsidRPr="00503FD4">
        <w:t xml:space="preserve"> p. pr</w:t>
      </w:r>
      <w:r w:rsidR="00CF4CEE" w:rsidRPr="00503FD4">
        <w:t>oc</w:t>
      </w:r>
      <w:r w:rsidRPr="00503FD4">
        <w:t xml:space="preserve">. </w:t>
      </w:r>
      <w:r w:rsidR="00CF4CEE" w:rsidRPr="00503FD4">
        <w:t>Niższe</w:t>
      </w:r>
      <w:r w:rsidRPr="00503FD4">
        <w:t xml:space="preserve"> ceny </w:t>
      </w:r>
      <w:r w:rsidR="00CF4CEE" w:rsidRPr="00503FD4">
        <w:t xml:space="preserve">odzieży i obuwia </w:t>
      </w:r>
      <w:r w:rsidRPr="00503FD4">
        <w:t xml:space="preserve">(o </w:t>
      </w:r>
      <w:r w:rsidR="00CF4CEE" w:rsidRPr="00503FD4">
        <w:t>1,</w:t>
      </w:r>
      <w:r w:rsidR="00503FD4" w:rsidRPr="00503FD4">
        <w:t>2</w:t>
      </w:r>
      <w:r w:rsidRPr="00503FD4">
        <w:t>%)</w:t>
      </w:r>
      <w:r w:rsidR="00503FD4" w:rsidRPr="00503FD4">
        <w:t xml:space="preserve"> oraz</w:t>
      </w:r>
      <w:r w:rsidR="001B1450">
        <w:t xml:space="preserve"> w zakresie transportu (o 0,5%)</w:t>
      </w:r>
      <w:r w:rsidRPr="00503FD4">
        <w:t xml:space="preserve"> </w:t>
      </w:r>
      <w:r w:rsidR="00CF4CEE" w:rsidRPr="00503FD4">
        <w:t>obniżyły</w:t>
      </w:r>
      <w:r w:rsidRPr="00503FD4">
        <w:t xml:space="preserve"> ten wskaźnik o</w:t>
      </w:r>
      <w:r w:rsidR="00503FD4" w:rsidRPr="00503FD4">
        <w:t xml:space="preserve">dpowiednio o </w:t>
      </w:r>
      <w:r w:rsidRPr="00503FD4">
        <w:t>0,</w:t>
      </w:r>
      <w:r w:rsidR="00B609CE" w:rsidRPr="00503FD4">
        <w:t>0</w:t>
      </w:r>
      <w:r w:rsidR="00503FD4" w:rsidRPr="00503FD4">
        <w:t>6</w:t>
      </w:r>
      <w:r w:rsidRPr="00503FD4">
        <w:t xml:space="preserve"> p. proc</w:t>
      </w:r>
      <w:r w:rsidR="00503FD4" w:rsidRPr="00503FD4">
        <w:t xml:space="preserve"> oraz 0,04 p. proc</w:t>
      </w:r>
      <w:r w:rsidRPr="00503FD4">
        <w:t>.</w:t>
      </w:r>
      <w:r w:rsidR="00561049" w:rsidRPr="00D7075D">
        <w:rPr>
          <w:b/>
          <w:highlight w:val="yellow"/>
        </w:rPr>
        <w:br/>
      </w:r>
      <w:r w:rsidR="00561049" w:rsidRPr="00181853">
        <w:t>W porównaniu z </w:t>
      </w:r>
      <w:r w:rsidRPr="00181853">
        <w:t>miesiącem analogicznym poprzedniego roku wyższe ceny żywności (o </w:t>
      </w:r>
      <w:r w:rsidR="00181853" w:rsidRPr="00181853">
        <w:t>8,1</w:t>
      </w:r>
      <w:r w:rsidR="00674A8B" w:rsidRPr="00181853">
        <w:t xml:space="preserve">%) </w:t>
      </w:r>
      <w:r w:rsidRPr="00181853">
        <w:t xml:space="preserve">oraz w zakresie </w:t>
      </w:r>
      <w:r w:rsidR="00181853" w:rsidRPr="00181853">
        <w:t>mieszkania (o 5</w:t>
      </w:r>
      <w:r w:rsidR="00CF4CEE" w:rsidRPr="00181853">
        <w:t>,6%)</w:t>
      </w:r>
      <w:r w:rsidR="00674A8B" w:rsidRPr="00181853">
        <w:t xml:space="preserve"> </w:t>
      </w:r>
      <w:r w:rsidR="00A72D71" w:rsidRPr="00181853">
        <w:t>pod</w:t>
      </w:r>
      <w:r w:rsidRPr="00181853">
        <w:t>nio</w:t>
      </w:r>
      <w:r w:rsidR="00181853" w:rsidRPr="00181853">
        <w:t>sły ten wskaźnik odpowiednio o 1</w:t>
      </w:r>
      <w:r w:rsidRPr="00181853">
        <w:t>,</w:t>
      </w:r>
      <w:r w:rsidR="00181853" w:rsidRPr="00181853">
        <w:t>84</w:t>
      </w:r>
      <w:r w:rsidR="00561049" w:rsidRPr="00181853">
        <w:t xml:space="preserve"> p. </w:t>
      </w:r>
      <w:r w:rsidRPr="00181853">
        <w:t>proc.</w:t>
      </w:r>
      <w:r w:rsidR="00181853" w:rsidRPr="00181853">
        <w:t>, i 1</w:t>
      </w:r>
      <w:r w:rsidRPr="00181853">
        <w:t>,</w:t>
      </w:r>
      <w:r w:rsidR="00181853" w:rsidRPr="00181853">
        <w:t>37</w:t>
      </w:r>
      <w:r w:rsidR="00BE0F88">
        <w:t> </w:t>
      </w:r>
      <w:r w:rsidRPr="00181853">
        <w:t xml:space="preserve">p. proc. Niższe ceny odzieży i obuwia (o </w:t>
      </w:r>
      <w:r w:rsidR="00181853" w:rsidRPr="00181853">
        <w:t>1</w:t>
      </w:r>
      <w:r w:rsidRPr="00181853">
        <w:t>,</w:t>
      </w:r>
      <w:r w:rsidR="00181853" w:rsidRPr="00181853">
        <w:t>0</w:t>
      </w:r>
      <w:r w:rsidR="00A72D71" w:rsidRPr="00181853">
        <w:t xml:space="preserve">%) </w:t>
      </w:r>
      <w:r w:rsidR="00181853" w:rsidRPr="00181853">
        <w:t xml:space="preserve">obniżyły wskaźnik </w:t>
      </w:r>
      <w:r w:rsidRPr="00181853">
        <w:t>o 0,</w:t>
      </w:r>
      <w:r w:rsidR="00181853" w:rsidRPr="00181853">
        <w:t>05 p. proc</w:t>
      </w:r>
      <w:r w:rsidRPr="00181853">
        <w:t>.</w:t>
      </w:r>
    </w:p>
    <w:p w:rsidR="00437F22" w:rsidRDefault="00437F22" w:rsidP="00706787">
      <w:pPr>
        <w:pStyle w:val="tytuwykresu"/>
        <w:ind w:left="794" w:hanging="794"/>
      </w:pPr>
    </w:p>
    <w:p w:rsidR="00BC561E" w:rsidRDefault="00BC561E" w:rsidP="00706787">
      <w:pPr>
        <w:pStyle w:val="tytuwykresu"/>
        <w:ind w:left="794" w:hanging="794"/>
      </w:pPr>
    </w:p>
    <w:p w:rsidR="00A07F00" w:rsidRDefault="0072703F" w:rsidP="00706787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8288" behindDoc="0" locked="0" layoutInCell="1" allowOverlap="1" wp14:anchorId="77F07EDA" wp14:editId="603F5C7E">
            <wp:simplePos x="0" y="0"/>
            <wp:positionH relativeFrom="column">
              <wp:posOffset>0</wp:posOffset>
            </wp:positionH>
            <wp:positionV relativeFrom="paragraph">
              <wp:posOffset>415925</wp:posOffset>
            </wp:positionV>
            <wp:extent cx="5122545" cy="2810510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2675F4">
        <w:t xml:space="preserve">Wykres </w:t>
      </w:r>
      <w:r w:rsidR="00761070" w:rsidRPr="002675F4">
        <w:t>1</w:t>
      </w:r>
      <w:r w:rsidR="00A07F00" w:rsidRPr="002675F4">
        <w:t>.</w:t>
      </w:r>
      <w:r w:rsidR="00A07F00" w:rsidRPr="002675F4">
        <w:rPr>
          <w:shd w:val="clear" w:color="auto" w:fill="FFFFFF"/>
        </w:rPr>
        <w:t xml:space="preserve"> Wpływ zmian cen wybranych grup towarów i </w:t>
      </w:r>
      <w:r w:rsidR="00D7075D" w:rsidRPr="002675F4">
        <w:rPr>
          <w:shd w:val="clear" w:color="auto" w:fill="FFFFFF"/>
        </w:rPr>
        <w:t>usług konsumpcyjnych w lutym 2020</w:t>
      </w:r>
      <w:r w:rsidR="00A07F00" w:rsidRPr="002675F4">
        <w:rPr>
          <w:shd w:val="clear" w:color="auto" w:fill="FFFFFF"/>
        </w:rPr>
        <w:t xml:space="preserve"> r.</w:t>
      </w:r>
      <w:r w:rsidR="00A07F00" w:rsidRPr="002675F4">
        <w:rPr>
          <w:noProof/>
          <w:shd w:val="clear" w:color="auto" w:fill="FFFFFF"/>
          <w:lang w:eastAsia="pl-PL"/>
        </w:rPr>
        <w:t xml:space="preserve"> </w:t>
      </w:r>
      <w:r w:rsidR="0051646A" w:rsidRPr="002675F4">
        <w:rPr>
          <w:noProof/>
          <w:shd w:val="clear" w:color="auto" w:fill="FFFFFF"/>
          <w:lang w:eastAsia="pl-PL"/>
        </w:rPr>
        <w:br/>
        <w:t>(z</w:t>
      </w:r>
      <w:r w:rsidR="0051646A" w:rsidRPr="002675F4">
        <w:rPr>
          <w:shd w:val="clear" w:color="auto" w:fill="FFFFFF"/>
        </w:rPr>
        <w:t>miana w p. proc. do okresu poprzedniego)</w:t>
      </w:r>
    </w:p>
    <w:p w:rsidR="0072703F" w:rsidRPr="00B60C1F" w:rsidRDefault="0072703F" w:rsidP="00706787">
      <w:pPr>
        <w:pStyle w:val="tytuwykresu"/>
        <w:ind w:left="794" w:hanging="794"/>
        <w:rPr>
          <w:noProof/>
          <w:shd w:val="clear" w:color="auto" w:fill="FFFFFF"/>
          <w:lang w:eastAsia="pl-PL"/>
        </w:rPr>
      </w:pPr>
    </w:p>
    <w:p w:rsidR="00A07F00" w:rsidRPr="00B60C1F" w:rsidRDefault="00A07F00" w:rsidP="00C27D75">
      <w:pPr>
        <w:pStyle w:val="tytuwykresu"/>
        <w:rPr>
          <w:b w:val="0"/>
          <w:shd w:val="clear" w:color="auto" w:fill="FFFFFF"/>
        </w:rPr>
      </w:pPr>
    </w:p>
    <w:p w:rsidR="003A440F" w:rsidRPr="00B60C1F" w:rsidRDefault="00944DF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79CC2BCE" wp14:editId="28B97C77">
            <wp:simplePos x="0" y="0"/>
            <wp:positionH relativeFrom="column">
              <wp:posOffset>-65893</wp:posOffset>
            </wp:positionH>
            <wp:positionV relativeFrom="paragraph">
              <wp:posOffset>282492</wp:posOffset>
            </wp:positionV>
            <wp:extent cx="5122545" cy="259270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A440F" w:rsidRPr="002B0C34">
        <w:t xml:space="preserve">Wykres </w:t>
      </w:r>
      <w:r w:rsidR="00761070" w:rsidRPr="002B0C34">
        <w:t>2</w:t>
      </w:r>
      <w:r w:rsidR="003A440F" w:rsidRPr="002B0C34">
        <w:t>.</w:t>
      </w:r>
      <w:r w:rsidR="003A440F" w:rsidRPr="002B0C34">
        <w:rPr>
          <w:shd w:val="clear" w:color="auto" w:fill="FFFFFF"/>
        </w:rPr>
        <w:t xml:space="preserve"> C</w:t>
      </w:r>
      <w:r w:rsidR="003A440F" w:rsidRPr="002B0C34">
        <w:rPr>
          <w:bCs/>
          <w:shd w:val="clear" w:color="auto" w:fill="FFFFFF"/>
        </w:rPr>
        <w:t xml:space="preserve">eny towarów i usług konsumpcyjnych </w:t>
      </w:r>
      <w:r w:rsidR="003A440F" w:rsidRPr="002B0C34">
        <w:rPr>
          <w:shd w:val="clear" w:color="auto" w:fill="FFFFFF"/>
        </w:rPr>
        <w:t>(zmiana w % do okresu poprzedniego)</w:t>
      </w:r>
      <w:r w:rsidR="003A440F" w:rsidRPr="00B60C1F">
        <w:rPr>
          <w:b w:val="0"/>
          <w:noProof/>
          <w:shd w:val="clear" w:color="auto" w:fill="FFFFFF"/>
          <w:lang w:eastAsia="pl-PL"/>
        </w:rPr>
        <w:t xml:space="preserve"> </w:t>
      </w:r>
    </w:p>
    <w:p w:rsidR="003A440F" w:rsidRPr="00B60C1F" w:rsidRDefault="003A440F" w:rsidP="00C27D75">
      <w:pPr>
        <w:pStyle w:val="LID"/>
      </w:pPr>
    </w:p>
    <w:p w:rsidR="00A07F00" w:rsidRPr="00B60C1F" w:rsidRDefault="00A07F00" w:rsidP="00C27D75"/>
    <w:p w:rsidR="00DA0243" w:rsidRPr="00B60C1F" w:rsidRDefault="00DA0243">
      <w:pPr>
        <w:spacing w:before="0" w:after="160" w:line="259" w:lineRule="auto"/>
        <w:rPr>
          <w:b/>
          <w:spacing w:val="-2"/>
          <w:sz w:val="18"/>
        </w:rPr>
      </w:pPr>
      <w:r w:rsidRPr="00B60C1F">
        <w:br w:type="page"/>
      </w:r>
    </w:p>
    <w:p w:rsidR="00034160" w:rsidRPr="00B60C1F" w:rsidRDefault="00E83887" w:rsidP="00706787">
      <w:pPr>
        <w:pStyle w:val="tytuwykresu"/>
        <w:spacing w:after="360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lastRenderedPageBreak/>
        <w:pict>
          <v:shape id="_x0000_s1049" type="#_x0000_t202" style="position:absolute;left:0;text-align:left;margin-left:414.75pt;margin-top:62.2pt;width:135.85pt;height:102.55pt;z-index:-251566080;visibility:visible;mso-wrap-distance-top:3.6pt;mso-wrap-distance-bottom:3.6pt;mso-width-relative:margin;mso-height-relative:margin" wrapcoords="0 0" filled="f" stroked="f">
            <v:textbox style="mso-next-textbox:#_x0000_s1049">
              <w:txbxContent>
                <w:p w:rsidR="00342186" w:rsidRPr="00BF2F65" w:rsidRDefault="00342186" w:rsidP="00034160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265F3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lutym 2020 r. wskaźnik cen towarów i usług konsumpcyjnych znalazł się powyżej górnej granicy odchyleń od celu inflacyjnego określonego przez Radę Polityki Pieniężnej (2,5% +/- 1 p. proc.)</w:t>
                  </w:r>
                </w:p>
                <w:p w:rsidR="00342186" w:rsidRPr="00BF2F65" w:rsidRDefault="00342186" w:rsidP="0003416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034160" w:rsidRPr="002675F4">
        <w:t xml:space="preserve">Wykres </w:t>
      </w:r>
      <w:r w:rsidR="00761070" w:rsidRPr="002675F4">
        <w:t>3</w:t>
      </w:r>
      <w:r w:rsidR="00034160" w:rsidRPr="002675F4">
        <w:t>.</w:t>
      </w:r>
      <w:r w:rsidR="00034160" w:rsidRPr="002675F4">
        <w:rPr>
          <w:shd w:val="clear" w:color="auto" w:fill="FFFFFF"/>
        </w:rPr>
        <w:t xml:space="preserve"> C</w:t>
      </w:r>
      <w:r w:rsidR="00034160" w:rsidRPr="002675F4">
        <w:rPr>
          <w:bCs/>
          <w:shd w:val="clear" w:color="auto" w:fill="FFFFFF"/>
        </w:rPr>
        <w:t xml:space="preserve">eny towarów i usług konsumpcyjnych </w:t>
      </w:r>
      <w:r w:rsidR="00034160" w:rsidRPr="002675F4">
        <w:rPr>
          <w:shd w:val="clear" w:color="auto" w:fill="FFFFFF"/>
        </w:rPr>
        <w:t xml:space="preserve">(zmiana w % do analogicznego okresu </w:t>
      </w:r>
      <w:r w:rsidR="00034160" w:rsidRPr="002675F4">
        <w:rPr>
          <w:shd w:val="clear" w:color="auto" w:fill="FFFFFF"/>
        </w:rPr>
        <w:br/>
        <w:t>roku poprzedniego)</w:t>
      </w:r>
    </w:p>
    <w:p w:rsidR="00034160" w:rsidRDefault="002675F4" w:rsidP="00034160">
      <w:pPr>
        <w:spacing w:before="0" w:after="160" w:line="259" w:lineRule="auto"/>
      </w:pPr>
      <w:r>
        <w:rPr>
          <w:noProof/>
          <w:lang w:eastAsia="pl-PL"/>
        </w:rPr>
        <w:drawing>
          <wp:inline distT="0" distB="0" distL="0" distR="0" wp14:anchorId="6EE8BA05" wp14:editId="71353505">
            <wp:extent cx="5122545" cy="259143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116F" w:rsidRDefault="002E116F" w:rsidP="00034160">
      <w:pPr>
        <w:spacing w:before="0" w:after="160" w:line="259" w:lineRule="auto"/>
      </w:pPr>
    </w:p>
    <w:p w:rsidR="00E27C54" w:rsidRPr="00B60C1F" w:rsidRDefault="00E27C54" w:rsidP="00034160">
      <w:pPr>
        <w:spacing w:before="0" w:after="160" w:line="259" w:lineRule="auto"/>
      </w:pPr>
    </w:p>
    <w:p w:rsidR="001E7DBB" w:rsidRPr="00B60C1F" w:rsidRDefault="00883763" w:rsidP="00706787">
      <w:pPr>
        <w:pStyle w:val="tytuwykresu"/>
        <w:spacing w:after="360"/>
        <w:ind w:left="794" w:hanging="794"/>
        <w:rPr>
          <w:bCs/>
          <w:shd w:val="clear" w:color="auto" w:fill="FFFFFF"/>
        </w:rPr>
      </w:pPr>
      <w:r w:rsidRPr="009B424E">
        <w:t xml:space="preserve">Wykres </w:t>
      </w:r>
      <w:r w:rsidR="00761070" w:rsidRPr="009B424E">
        <w:t>4</w:t>
      </w:r>
      <w:r w:rsidRPr="009B424E">
        <w:t>.</w:t>
      </w:r>
      <w:r w:rsidRPr="009B424E">
        <w:rPr>
          <w:shd w:val="clear" w:color="auto" w:fill="FFFFFF"/>
        </w:rPr>
        <w:t xml:space="preserve"> </w:t>
      </w:r>
      <w:r w:rsidR="00761070" w:rsidRPr="009B424E">
        <w:rPr>
          <w:bCs/>
          <w:shd w:val="clear" w:color="auto" w:fill="FFFFFF"/>
        </w:rPr>
        <w:t xml:space="preserve">Wskaźnik cen towarów i usług konsumpcyjnych (CPI) oraz </w:t>
      </w:r>
      <w:r w:rsidR="001E7DBB" w:rsidRPr="009B424E">
        <w:rPr>
          <w:bCs/>
          <w:shd w:val="clear" w:color="auto" w:fill="FFFFFF"/>
        </w:rPr>
        <w:t>z</w:t>
      </w:r>
      <w:r w:rsidR="00761070" w:rsidRPr="009B424E">
        <w:rPr>
          <w:bCs/>
          <w:shd w:val="clear" w:color="auto" w:fill="FFFFFF"/>
        </w:rPr>
        <w:t xml:space="preserve">harmonizowany </w:t>
      </w:r>
      <w:r w:rsidR="001E7DBB" w:rsidRPr="009B424E">
        <w:rPr>
          <w:bCs/>
          <w:shd w:val="clear" w:color="auto" w:fill="FFFFFF"/>
        </w:rPr>
        <w:t>wskaźnik cen konsumpcyjnych (HICP</w:t>
      </w:r>
      <w:r w:rsidR="00067B1B" w:rsidRPr="00067B1B">
        <w:rPr>
          <w:b w:val="0"/>
          <w:color w:val="000000" w:themeColor="text1"/>
          <w:szCs w:val="18"/>
        </w:rPr>
        <w:t>*</w:t>
      </w:r>
      <w:r w:rsidR="001E7DBB" w:rsidRPr="009B424E">
        <w:rPr>
          <w:bCs/>
          <w:shd w:val="clear" w:color="auto" w:fill="FFFFFF"/>
        </w:rPr>
        <w:t xml:space="preserve">) </w:t>
      </w:r>
      <w:r w:rsidR="001E7DBB" w:rsidRPr="009B424E">
        <w:rPr>
          <w:shd w:val="clear" w:color="auto" w:fill="FFFFFF"/>
        </w:rPr>
        <w:t>(zmiana w % do analogicznego okresu roku poprzedniego)</w:t>
      </w:r>
    </w:p>
    <w:p w:rsidR="007B74D8" w:rsidRPr="00B60C1F" w:rsidRDefault="009B424E">
      <w:pPr>
        <w:spacing w:before="0" w:after="160" w:line="259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13FED8A" wp14:editId="2C889030">
            <wp:extent cx="5122545" cy="250952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143C" w:rsidRDefault="00EA143C">
      <w:pPr>
        <w:spacing w:before="0" w:after="160" w:line="259" w:lineRule="auto"/>
        <w:rPr>
          <w:rFonts w:cstheme="majorBidi"/>
          <w:bCs/>
          <w:color w:val="000000" w:themeColor="text1"/>
          <w:sz w:val="16"/>
          <w:szCs w:val="16"/>
        </w:rPr>
      </w:pPr>
    </w:p>
    <w:p w:rsidR="00B9262E" w:rsidRDefault="00EA143C" w:rsidP="000D067F">
      <w:pPr>
        <w:spacing w:before="0" w:after="160" w:line="259" w:lineRule="auto"/>
        <w:ind w:firstLine="567"/>
        <w:rPr>
          <w:b/>
          <w:noProof/>
          <w:sz w:val="18"/>
          <w:szCs w:val="19"/>
          <w:lang w:eastAsia="pl-PL"/>
        </w:rPr>
      </w:pPr>
      <w:r w:rsidRPr="00087888">
        <w:rPr>
          <w:noProof/>
          <w:sz w:val="16"/>
          <w:szCs w:val="19"/>
          <w:lang w:eastAsia="pl-PL"/>
        </w:rPr>
        <w:t xml:space="preserve">* Dane ostateczne z wyjątkiem </w:t>
      </w:r>
      <w:r>
        <w:rPr>
          <w:noProof/>
          <w:sz w:val="16"/>
          <w:szCs w:val="19"/>
          <w:lang w:eastAsia="pl-PL"/>
        </w:rPr>
        <w:t>danych HICP za styczeń 2020 r.</w:t>
      </w:r>
      <w:r w:rsidR="007C17A2">
        <w:rPr>
          <w:noProof/>
          <w:sz w:val="16"/>
          <w:szCs w:val="19"/>
          <w:lang w:eastAsia="pl-PL"/>
        </w:rPr>
        <w:t xml:space="preserve"> (dane wstępne)</w:t>
      </w:r>
      <w:r w:rsidR="00B9262E">
        <w:rPr>
          <w:sz w:val="18"/>
        </w:rPr>
        <w:br w:type="page"/>
      </w:r>
    </w:p>
    <w:p w:rsidR="00516A50" w:rsidRDefault="00516A50" w:rsidP="00516A50">
      <w:pPr>
        <w:pStyle w:val="LID"/>
        <w:rPr>
          <w:bCs/>
          <w:sz w:val="18"/>
          <w:shd w:val="clear" w:color="auto" w:fill="FFFFFF"/>
        </w:rPr>
      </w:pPr>
      <w:r w:rsidRPr="002F7E74">
        <w:rPr>
          <w:sz w:val="18"/>
        </w:rPr>
        <w:lastRenderedPageBreak/>
        <w:t xml:space="preserve">Tablica </w:t>
      </w:r>
      <w:r w:rsidR="001E7DBB" w:rsidRPr="002F7E74">
        <w:rPr>
          <w:sz w:val="18"/>
        </w:rPr>
        <w:t>3</w:t>
      </w:r>
      <w:r w:rsidRPr="002F7E74">
        <w:rPr>
          <w:sz w:val="18"/>
        </w:rPr>
        <w:t>.</w:t>
      </w:r>
      <w:r w:rsidRPr="002F7E74">
        <w:rPr>
          <w:sz w:val="18"/>
          <w:shd w:val="clear" w:color="auto" w:fill="FFFFFF"/>
        </w:rPr>
        <w:t xml:space="preserve"> </w:t>
      </w:r>
      <w:r w:rsidRPr="002F7E74">
        <w:rPr>
          <w:bCs/>
          <w:sz w:val="18"/>
          <w:shd w:val="clear" w:color="auto" w:fill="FFFFFF"/>
        </w:rPr>
        <w:t xml:space="preserve">Wskaźniki cen towarów i usług konsumpcyjnych w styczniu i </w:t>
      </w:r>
      <w:r w:rsidR="00D7075D" w:rsidRPr="002F7E74">
        <w:rPr>
          <w:sz w:val="18"/>
        </w:rPr>
        <w:t>lutym 2020</w:t>
      </w:r>
      <w:r w:rsidRPr="002F7E74">
        <w:rPr>
          <w:sz w:val="18"/>
        </w:rPr>
        <w:t> </w:t>
      </w:r>
      <w:r w:rsidRPr="002F7E74">
        <w:rPr>
          <w:bCs/>
          <w:sz w:val="18"/>
          <w:shd w:val="clear" w:color="auto" w:fill="FFFFFF"/>
        </w:rPr>
        <w:t>r.</w:t>
      </w:r>
    </w:p>
    <w:p w:rsidR="003E5318" w:rsidRPr="00B60C1F" w:rsidRDefault="003E5318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710"/>
        <w:gridCol w:w="851"/>
        <w:gridCol w:w="850"/>
        <w:gridCol w:w="851"/>
        <w:gridCol w:w="708"/>
        <w:gridCol w:w="851"/>
      </w:tblGrid>
      <w:tr w:rsidR="00167883" w:rsidRPr="00B60C1F" w:rsidTr="00B93056">
        <w:trPr>
          <w:trHeight w:val="315"/>
          <w:tblHeader/>
        </w:trPr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67883" w:rsidRPr="00B60C1F" w:rsidRDefault="00167883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167883" w:rsidRPr="00B60C1F" w:rsidRDefault="002F7E74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 2020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167883" w:rsidRPr="00B60C1F" w:rsidRDefault="002F7E74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II 2020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67883" w:rsidRPr="00B60C1F" w:rsidRDefault="00B93056" w:rsidP="00B9305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2F7E74">
              <w:rPr>
                <w:rFonts w:eastAsia="Times New Roman" w:cs="Calibri"/>
                <w:sz w:val="16"/>
                <w:szCs w:val="16"/>
                <w:lang w:eastAsia="pl-PL"/>
              </w:rPr>
              <w:t>II 2020</w:t>
            </w:r>
          </w:p>
        </w:tc>
      </w:tr>
      <w:tr w:rsidR="00167883" w:rsidRPr="00B60C1F" w:rsidTr="00B93056">
        <w:trPr>
          <w:trHeight w:val="465"/>
          <w:tblHeader/>
        </w:trPr>
        <w:tc>
          <w:tcPr>
            <w:tcW w:w="3401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167883" w:rsidRPr="00B60C1F" w:rsidRDefault="00167883" w:rsidP="0016788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167883" w:rsidRPr="00B60C1F" w:rsidRDefault="002F7E74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 2019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167883" w:rsidRPr="00B60C1F" w:rsidRDefault="002F7E74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XII 2019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167883" w:rsidRPr="00B60C1F" w:rsidRDefault="00B93056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F7E74">
              <w:rPr>
                <w:rFonts w:eastAsia="Times New Roman" w:cs="Calibri"/>
                <w:sz w:val="16"/>
                <w:szCs w:val="16"/>
                <w:lang w:eastAsia="pl-PL"/>
              </w:rPr>
              <w:t>I 2019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167883" w:rsidRPr="00B60C1F" w:rsidRDefault="00B93056" w:rsidP="0016788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2F7E74">
              <w:rPr>
                <w:rFonts w:eastAsia="Times New Roman" w:cs="Calibri"/>
                <w:sz w:val="16"/>
                <w:szCs w:val="16"/>
                <w:lang w:eastAsia="pl-PL"/>
              </w:rPr>
              <w:t>II 2019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167883" w:rsidRPr="00B60C1F" w:rsidRDefault="00B93056" w:rsidP="002F7E74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F7E7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93056" w:rsidRPr="00B60C1F" w:rsidRDefault="00B93056" w:rsidP="00B9305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 xml:space="preserve"> 2</w:t>
            </w:r>
            <w:r w:rsidR="00167883" w:rsidRPr="00B60C1F">
              <w:rPr>
                <w:rFonts w:eastAsia="Times New Roman" w:cs="Calibri"/>
                <w:sz w:val="16"/>
                <w:szCs w:val="16"/>
                <w:lang w:eastAsia="pl-PL"/>
              </w:rPr>
              <w:t>01</w:t>
            </w:r>
            <w:r w:rsidR="002F7E74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</w:p>
          <w:p w:rsidR="00167883" w:rsidRPr="00B60C1F" w:rsidRDefault="00167883" w:rsidP="00B9305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952753" w:rsidRPr="00952753" w:rsidTr="00D37841">
        <w:trPr>
          <w:trHeight w:val="330"/>
        </w:trPr>
        <w:tc>
          <w:tcPr>
            <w:tcW w:w="340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71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952753" w:rsidRPr="00952753" w:rsidRDefault="00952753" w:rsidP="0095275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52753">
              <w:rPr>
                <w:rFonts w:cs="Calibri"/>
                <w:b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85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952753" w:rsidRPr="00952753" w:rsidRDefault="00952753" w:rsidP="0095275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52753">
              <w:rPr>
                <w:rFonts w:cs="Calibri"/>
                <w:b/>
                <w:bCs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850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bottom"/>
          </w:tcPr>
          <w:p w:rsidR="00952753" w:rsidRPr="00952753" w:rsidRDefault="00952753" w:rsidP="0095275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52753">
              <w:rPr>
                <w:rFonts w:cs="Calibri"/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bottom"/>
          </w:tcPr>
          <w:p w:rsidR="00952753" w:rsidRPr="00952753" w:rsidRDefault="00952753" w:rsidP="0095275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52753">
              <w:rPr>
                <w:rFonts w:cs="Calibri"/>
                <w:b/>
                <w:b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708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bottom"/>
          </w:tcPr>
          <w:p w:rsidR="00952753" w:rsidRPr="00952753" w:rsidRDefault="00952753" w:rsidP="0095275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52753">
              <w:rPr>
                <w:rFonts w:cs="Calibri"/>
                <w:b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952753" w:rsidRPr="00952753" w:rsidRDefault="00952753" w:rsidP="0095275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52753">
              <w:rPr>
                <w:rFonts w:cs="Calibri"/>
                <w:b/>
                <w:bCs/>
                <w:color w:val="000000"/>
                <w:sz w:val="16"/>
                <w:szCs w:val="16"/>
              </w:rPr>
              <w:t>104,5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71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952753" w:rsidRPr="00952753" w:rsidTr="00952753">
        <w:trPr>
          <w:trHeight w:val="34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952753" w:rsidRPr="00952753" w:rsidTr="00952753">
        <w:trPr>
          <w:trHeight w:val="34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3E5318">
            <w:pPr>
              <w:spacing w:before="40" w:after="2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B60C1F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952753" w:rsidRPr="00952753" w:rsidTr="00952753">
        <w:trPr>
          <w:trHeight w:val="34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</w:tr>
      <w:tr w:rsidR="00952753" w:rsidRPr="00952753" w:rsidTr="00952753">
        <w:trPr>
          <w:trHeight w:val="340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71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114,0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113,6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117,3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NOŚNIKI ENERGII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149,0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111,3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</w:tr>
      <w:tr w:rsidR="00952753" w:rsidRPr="00952753" w:rsidTr="00DE3FFF">
        <w:trPr>
          <w:trHeight w:val="282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952753" w:rsidRPr="00952753" w:rsidTr="00DE3FFF">
        <w:trPr>
          <w:trHeight w:val="302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transportu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90,5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B60C1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B60C1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B60C1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110,7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71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708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952753" w:rsidRPr="00952753" w:rsidTr="00952753">
        <w:trPr>
          <w:trHeight w:val="317"/>
        </w:trPr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B60C1F" w:rsidRDefault="00952753" w:rsidP="0095275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60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53" w:rsidRPr="00952753" w:rsidRDefault="00952753" w:rsidP="009527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527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</w:tbl>
    <w:p w:rsidR="00167883" w:rsidRPr="00B60C1F" w:rsidRDefault="00167883" w:rsidP="00516A50">
      <w:pPr>
        <w:pStyle w:val="LID"/>
        <w:rPr>
          <w:bCs/>
          <w:sz w:val="18"/>
          <w:shd w:val="clear" w:color="auto" w:fill="FFFFFF"/>
        </w:rPr>
      </w:pPr>
    </w:p>
    <w:p w:rsidR="00167883" w:rsidRPr="00B60C1F" w:rsidRDefault="00167883" w:rsidP="00516A50">
      <w:pPr>
        <w:pStyle w:val="LID"/>
        <w:rPr>
          <w:sz w:val="18"/>
          <w:shd w:val="clear" w:color="auto" w:fill="FFFFFF"/>
        </w:rPr>
      </w:pPr>
    </w:p>
    <w:p w:rsidR="00DF712D" w:rsidRPr="00B60C1F" w:rsidRDefault="00DF712D" w:rsidP="00883763">
      <w:pPr>
        <w:spacing w:before="0" w:after="160" w:line="259" w:lineRule="auto"/>
      </w:pPr>
    </w:p>
    <w:p w:rsidR="00685123" w:rsidRPr="00B60C1F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B60C1F" w:rsidSect="00EF7B36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B60C1F" w:rsidRDefault="00E83887" w:rsidP="000470AA">
      <w:pPr>
        <w:rPr>
          <w:sz w:val="18"/>
        </w:rPr>
      </w:pPr>
      <w:r>
        <w:rPr>
          <w:noProof/>
          <w:sz w:val="18"/>
          <w:lang w:eastAsia="pl-PL"/>
        </w:rPr>
        <w:lastRenderedPageBreak/>
        <w:pict>
          <v:shape id="_x0000_s1079" type="#_x0000_t202" style="position:absolute;margin-left:-108pt;margin-top:-93.15pt;width:1in;height:1in;z-index:251787264">
            <v:textbox style="mso-next-textbox:#_x0000_s1079">
              <w:txbxContent>
                <w:p w:rsidR="00342186" w:rsidRDefault="00342186"/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167883" w:rsidRPr="00B60C1F" w:rsidTr="00167883">
        <w:trPr>
          <w:trHeight w:val="1912"/>
        </w:trPr>
        <w:tc>
          <w:tcPr>
            <w:tcW w:w="4358" w:type="dxa"/>
          </w:tcPr>
          <w:p w:rsidR="00167883" w:rsidRPr="00B60C1F" w:rsidRDefault="00167883" w:rsidP="00A95B8D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B60C1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167883" w:rsidRPr="00B60C1F" w:rsidRDefault="00167883" w:rsidP="00A95B8D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B60C1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D7075D" w:rsidRPr="00D37841" w:rsidRDefault="00D7075D" w:rsidP="00A95B8D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D37841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167883" w:rsidRPr="00D7075D" w:rsidRDefault="00D7075D" w:rsidP="00A95B8D">
            <w:pPr>
              <w:pStyle w:val="Nagwek3"/>
              <w:spacing w:before="0"/>
              <w:rPr>
                <w:rFonts w:ascii="Fira Sans" w:hAnsi="Fira Sans"/>
                <w:color w:val="000000" w:themeColor="text1"/>
                <w:lang w:val="fi-FI"/>
              </w:rPr>
            </w:pPr>
            <w:r w:rsidRPr="00D37841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25" w:type="dxa"/>
          </w:tcPr>
          <w:p w:rsidR="00167883" w:rsidRPr="00B60C1F" w:rsidRDefault="00167883" w:rsidP="00A95B8D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B60C1F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B60C1F">
              <w:rPr>
                <w:rFonts w:cs="Arial"/>
                <w:color w:val="000000" w:themeColor="text1"/>
                <w:sz w:val="20"/>
              </w:rPr>
              <w:br/>
            </w:r>
            <w:r w:rsidRPr="00B60C1F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D7075D" w:rsidRPr="00FF39EB" w:rsidRDefault="00D7075D" w:rsidP="00A95B8D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D7075D" w:rsidRPr="00FF39EB" w:rsidRDefault="00D7075D" w:rsidP="00A95B8D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  <w:p w:rsidR="00167883" w:rsidRPr="00B60C1F" w:rsidRDefault="00167883" w:rsidP="00A95B8D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B60C1F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167883" w:rsidRPr="00B60C1F" w:rsidTr="00B44A4C">
        <w:trPr>
          <w:trHeight w:val="610"/>
        </w:trPr>
        <w:tc>
          <w:tcPr>
            <w:tcW w:w="2721" w:type="pct"/>
            <w:vMerge w:val="restart"/>
          </w:tcPr>
          <w:p w:rsidR="00167883" w:rsidRPr="00B60C1F" w:rsidRDefault="00167883" w:rsidP="00D37841">
            <w:pPr>
              <w:spacing w:before="200"/>
              <w:rPr>
                <w:b/>
                <w:sz w:val="20"/>
              </w:rPr>
            </w:pPr>
            <w:r w:rsidRPr="00B60C1F">
              <w:rPr>
                <w:b/>
                <w:sz w:val="20"/>
              </w:rPr>
              <w:t xml:space="preserve">Wydział Współpracy z Mediami </w:t>
            </w:r>
          </w:p>
          <w:p w:rsidR="00167883" w:rsidRDefault="00D37841" w:rsidP="006D0DD8">
            <w:pPr>
              <w:rPr>
                <w:sz w:val="20"/>
              </w:rPr>
            </w:pPr>
            <w:r w:rsidRPr="00D37841">
              <w:rPr>
                <w:sz w:val="20"/>
              </w:rPr>
              <w:t>Tel</w:t>
            </w:r>
            <w:r w:rsidR="00167883" w:rsidRPr="00D37841">
              <w:rPr>
                <w:sz w:val="20"/>
              </w:rPr>
              <w:t xml:space="preserve">: </w:t>
            </w:r>
            <w:r w:rsidR="006D0DD8" w:rsidRPr="00D37841">
              <w:rPr>
                <w:sz w:val="20"/>
              </w:rPr>
              <w:t>22</w:t>
            </w:r>
            <w:r w:rsidR="006D0DD8">
              <w:rPr>
                <w:sz w:val="20"/>
              </w:rPr>
              <w:t xml:space="preserve"> 608 34 91, 22 608 38 04</w:t>
            </w:r>
          </w:p>
          <w:p w:rsidR="00167883" w:rsidRPr="00B60C1F" w:rsidRDefault="00167883" w:rsidP="006D0DD8">
            <w:pPr>
              <w:rPr>
                <w:sz w:val="18"/>
                <w:lang w:val="en-US"/>
              </w:rPr>
            </w:pPr>
            <w:r w:rsidRPr="00B60C1F">
              <w:rPr>
                <w:b/>
                <w:sz w:val="20"/>
                <w:lang w:val="en-US"/>
              </w:rPr>
              <w:t>e-mail:</w:t>
            </w:r>
            <w:r w:rsidRPr="00B60C1F">
              <w:rPr>
                <w:sz w:val="20"/>
                <w:lang w:val="en-US"/>
              </w:rPr>
              <w:t xml:space="preserve"> </w:t>
            </w:r>
            <w:hyperlink r:id="rId20" w:history="1">
              <w:r w:rsidRPr="00A95B8D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167883" w:rsidRPr="00B60C1F" w:rsidRDefault="00167883" w:rsidP="00167883">
            <w:pPr>
              <w:rPr>
                <w:sz w:val="18"/>
                <w:lang w:val="en-US"/>
              </w:rPr>
            </w:pPr>
            <w:r w:rsidRPr="00B60C1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0E105F1A" wp14:editId="251D1DD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167883" w:rsidRPr="00B60C1F" w:rsidRDefault="00167883" w:rsidP="00167883">
            <w:pPr>
              <w:rPr>
                <w:sz w:val="18"/>
              </w:rPr>
            </w:pPr>
            <w:r w:rsidRPr="00B60C1F">
              <w:rPr>
                <w:sz w:val="20"/>
              </w:rPr>
              <w:t>www.stat.gov.pl</w:t>
            </w:r>
          </w:p>
        </w:tc>
      </w:tr>
      <w:tr w:rsidR="00167883" w:rsidRPr="00B60C1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  <w:r w:rsidRPr="00B60C1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690FBB0B" wp14:editId="1B87765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67883" w:rsidRPr="00B60C1F" w:rsidRDefault="00167883" w:rsidP="000470AA">
            <w:pPr>
              <w:rPr>
                <w:sz w:val="18"/>
              </w:rPr>
            </w:pPr>
            <w:r w:rsidRPr="00B60C1F">
              <w:rPr>
                <w:sz w:val="20"/>
              </w:rPr>
              <w:t>@GUS_STAT</w:t>
            </w:r>
          </w:p>
        </w:tc>
      </w:tr>
      <w:tr w:rsidR="00167883" w:rsidRPr="00B60C1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167883" w:rsidRPr="00B60C1F" w:rsidRDefault="00167883" w:rsidP="000470AA">
            <w:pPr>
              <w:rPr>
                <w:sz w:val="18"/>
              </w:rPr>
            </w:pPr>
            <w:r w:rsidRPr="00B60C1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36D34C7B" wp14:editId="6329EDF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67883" w:rsidRPr="00B60C1F" w:rsidRDefault="00167883" w:rsidP="000470AA">
            <w:pPr>
              <w:rPr>
                <w:sz w:val="20"/>
              </w:rPr>
            </w:pPr>
            <w:r w:rsidRPr="00B60C1F">
              <w:rPr>
                <w:sz w:val="20"/>
              </w:rPr>
              <w:t>@GlownyUrzadStatystyczny</w:t>
            </w:r>
          </w:p>
        </w:tc>
      </w:tr>
    </w:tbl>
    <w:p w:rsidR="00D261A2" w:rsidRPr="00001C5B" w:rsidRDefault="00E83887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39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EEPi+A+AgAAcwQAAA4A&#10;AAAAAAAAAAAAAAAALgIAAGRycy9lMm9Eb2MueG1sUEsBAi0AFAAGAAgAAAAhAG7AMXzfAAAACQEA&#10;AA8AAAAAAAAAAAAAAAAAmAQAAGRycy9kb3ducmV2LnhtbFBLBQYAAAAABAAEAPMAAACkBQAAAAA=&#10;" fillcolor="#f2f2f2 [3052]" strokecolor="white [3212]">
            <v:textbox style="mso-next-textbox:#_x0000_s1039">
              <w:txbxContent>
                <w:p w:rsidR="00342186" w:rsidRDefault="00342186" w:rsidP="00883763">
                  <w:pPr>
                    <w:rPr>
                      <w:b/>
                    </w:rPr>
                  </w:pPr>
                </w:p>
                <w:p w:rsidR="00342186" w:rsidRPr="006761A7" w:rsidRDefault="00342186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4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342186" w:rsidRPr="00E233EA" w:rsidRDefault="00342186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342186" w:rsidRPr="00E233EA" w:rsidRDefault="00342186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342186" w:rsidRPr="006761A7" w:rsidRDefault="00342186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342186" w:rsidRDefault="00342186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342186" w:rsidRPr="006761A7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342186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342186" w:rsidRPr="00BD7810" w:rsidRDefault="00E83887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342186" w:rsidRPr="00BD7810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EF7B36">
      <w:headerReference w:type="default" r:id="rId33"/>
      <w:footerReference w:type="default" r:id="rId3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87" w:rsidRDefault="00E83887" w:rsidP="000662E2">
      <w:pPr>
        <w:spacing w:after="0" w:line="240" w:lineRule="auto"/>
      </w:pPr>
      <w:r>
        <w:separator/>
      </w:r>
    </w:p>
  </w:endnote>
  <w:endnote w:type="continuationSeparator" w:id="0">
    <w:p w:rsidR="00E83887" w:rsidRDefault="00E8388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342186" w:rsidRDefault="00342186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342186" w:rsidRDefault="00342186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5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42186" w:rsidRDefault="00342186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57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87" w:rsidRDefault="00E83887" w:rsidP="000662E2">
      <w:pPr>
        <w:spacing w:after="0" w:line="240" w:lineRule="auto"/>
      </w:pPr>
      <w:r>
        <w:separator/>
      </w:r>
    </w:p>
  </w:footnote>
  <w:footnote w:type="continuationSeparator" w:id="0">
    <w:p w:rsidR="00E83887" w:rsidRDefault="00E8388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86" w:rsidRDefault="00E83887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</w:pict>
    </w:r>
  </w:p>
  <w:p w:rsidR="00342186" w:rsidRDefault="003421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86" w:rsidRDefault="00E83887" w:rsidP="00E63910">
    <w:pPr>
      <w:pStyle w:val="Nagwek"/>
      <w:tabs>
        <w:tab w:val="clear" w:pos="4536"/>
        <w:tab w:val="clear" w:pos="9072"/>
        <w:tab w:val="left" w:pos="4575"/>
      </w:tabs>
      <w:rPr>
        <w:noProof/>
        <w:lang w:eastAsia="pl-PL"/>
      </w:rPr>
    </w:pPr>
    <w:r>
      <w:rPr>
        <w:noProof/>
        <w:lang w:eastAsia="pl-PL"/>
      </w:rPr>
      <w:pict>
        <v:rect id="Prostokąt 10" o:spid="_x0000_s2050" style="position:absolute;margin-left:411pt;margin-top:43.8pt;width:147.4pt;height:783.75pt;z-index:-251650048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<w10:wrap type="tight"/>
        </v:rect>
      </w:pict>
    </w: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342186" w:rsidRPr="003C6C8D" w:rsidRDefault="00342186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342186">
      <w:rPr>
        <w:noProof/>
        <w:lang w:eastAsia="pl-PL"/>
      </w:rPr>
      <w:drawing>
        <wp:inline distT="0" distB="0" distL="0" distR="0" wp14:anchorId="0CF8F073" wp14:editId="452D21CD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186">
      <w:rPr>
        <w:noProof/>
        <w:lang w:eastAsia="pl-PL"/>
      </w:rPr>
      <w:tab/>
    </w:r>
  </w:p>
  <w:p w:rsidR="00342186" w:rsidRDefault="00E83887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342186" w:rsidRPr="00C97596" w:rsidRDefault="00342186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13.03.2020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86" w:rsidRDefault="00342186">
    <w:pPr>
      <w:pStyle w:val="Nagwek"/>
    </w:pPr>
  </w:p>
  <w:p w:rsidR="00342186" w:rsidRDefault="003421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07F94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67B1B"/>
    <w:rsid w:val="00074DD8"/>
    <w:rsid w:val="000806F7"/>
    <w:rsid w:val="00087247"/>
    <w:rsid w:val="00097840"/>
    <w:rsid w:val="000A6963"/>
    <w:rsid w:val="000A7F1A"/>
    <w:rsid w:val="000B0727"/>
    <w:rsid w:val="000B0E62"/>
    <w:rsid w:val="000C135D"/>
    <w:rsid w:val="000D0112"/>
    <w:rsid w:val="000D067F"/>
    <w:rsid w:val="000D1D43"/>
    <w:rsid w:val="000D225C"/>
    <w:rsid w:val="000D2A5C"/>
    <w:rsid w:val="000E0918"/>
    <w:rsid w:val="000F6E98"/>
    <w:rsid w:val="001011C3"/>
    <w:rsid w:val="00107A30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5700F"/>
    <w:rsid w:val="00162325"/>
    <w:rsid w:val="00167883"/>
    <w:rsid w:val="00181853"/>
    <w:rsid w:val="00194AFE"/>
    <w:rsid w:val="001951DA"/>
    <w:rsid w:val="001A4874"/>
    <w:rsid w:val="001B1450"/>
    <w:rsid w:val="001B2F90"/>
    <w:rsid w:val="001C3269"/>
    <w:rsid w:val="001D1DB4"/>
    <w:rsid w:val="001E1D94"/>
    <w:rsid w:val="001E7DBB"/>
    <w:rsid w:val="002114DC"/>
    <w:rsid w:val="00220E7C"/>
    <w:rsid w:val="002354B7"/>
    <w:rsid w:val="0023583F"/>
    <w:rsid w:val="002400CF"/>
    <w:rsid w:val="002574F9"/>
    <w:rsid w:val="00262B61"/>
    <w:rsid w:val="00265F3B"/>
    <w:rsid w:val="002675F4"/>
    <w:rsid w:val="00276811"/>
    <w:rsid w:val="00276C9A"/>
    <w:rsid w:val="00282699"/>
    <w:rsid w:val="00283B82"/>
    <w:rsid w:val="002926DF"/>
    <w:rsid w:val="00296697"/>
    <w:rsid w:val="002A4D80"/>
    <w:rsid w:val="002B0472"/>
    <w:rsid w:val="002B0C34"/>
    <w:rsid w:val="002B6B12"/>
    <w:rsid w:val="002D0020"/>
    <w:rsid w:val="002E0C0A"/>
    <w:rsid w:val="002E116F"/>
    <w:rsid w:val="002E6140"/>
    <w:rsid w:val="002E6985"/>
    <w:rsid w:val="002E71B6"/>
    <w:rsid w:val="002F77C8"/>
    <w:rsid w:val="002F7E74"/>
    <w:rsid w:val="00304F22"/>
    <w:rsid w:val="00305162"/>
    <w:rsid w:val="00306C7C"/>
    <w:rsid w:val="00321D70"/>
    <w:rsid w:val="00322EDD"/>
    <w:rsid w:val="00332320"/>
    <w:rsid w:val="00342186"/>
    <w:rsid w:val="00347D72"/>
    <w:rsid w:val="00357611"/>
    <w:rsid w:val="00367237"/>
    <w:rsid w:val="0037077F"/>
    <w:rsid w:val="00372411"/>
    <w:rsid w:val="00373882"/>
    <w:rsid w:val="00384355"/>
    <w:rsid w:val="003843DB"/>
    <w:rsid w:val="00386E75"/>
    <w:rsid w:val="003901AC"/>
    <w:rsid w:val="00393761"/>
    <w:rsid w:val="00397D18"/>
    <w:rsid w:val="003A1B36"/>
    <w:rsid w:val="003A4229"/>
    <w:rsid w:val="003A440F"/>
    <w:rsid w:val="003B1454"/>
    <w:rsid w:val="003B18B6"/>
    <w:rsid w:val="003C59E0"/>
    <w:rsid w:val="003C6C8D"/>
    <w:rsid w:val="003D4F95"/>
    <w:rsid w:val="003D5F42"/>
    <w:rsid w:val="003D60A9"/>
    <w:rsid w:val="003E3487"/>
    <w:rsid w:val="003E5318"/>
    <w:rsid w:val="003F4C97"/>
    <w:rsid w:val="003F7FE6"/>
    <w:rsid w:val="00400193"/>
    <w:rsid w:val="004016AB"/>
    <w:rsid w:val="00414D07"/>
    <w:rsid w:val="004212E7"/>
    <w:rsid w:val="00422E75"/>
    <w:rsid w:val="0042446D"/>
    <w:rsid w:val="00427BF8"/>
    <w:rsid w:val="00431C02"/>
    <w:rsid w:val="00437395"/>
    <w:rsid w:val="00437F22"/>
    <w:rsid w:val="00445047"/>
    <w:rsid w:val="004566AB"/>
    <w:rsid w:val="004601AC"/>
    <w:rsid w:val="00463E39"/>
    <w:rsid w:val="004657FC"/>
    <w:rsid w:val="004733F6"/>
    <w:rsid w:val="00474E69"/>
    <w:rsid w:val="0049621B"/>
    <w:rsid w:val="004C1895"/>
    <w:rsid w:val="004C2FDF"/>
    <w:rsid w:val="004C55C1"/>
    <w:rsid w:val="004C6D40"/>
    <w:rsid w:val="004F0C3C"/>
    <w:rsid w:val="004F63FC"/>
    <w:rsid w:val="00502E6F"/>
    <w:rsid w:val="00503FD4"/>
    <w:rsid w:val="00505A92"/>
    <w:rsid w:val="0051646A"/>
    <w:rsid w:val="00516A50"/>
    <w:rsid w:val="005203F1"/>
    <w:rsid w:val="0052058B"/>
    <w:rsid w:val="00521BC3"/>
    <w:rsid w:val="00526A58"/>
    <w:rsid w:val="00533632"/>
    <w:rsid w:val="005341B7"/>
    <w:rsid w:val="0053648F"/>
    <w:rsid w:val="00541E6E"/>
    <w:rsid w:val="0054251F"/>
    <w:rsid w:val="005520D8"/>
    <w:rsid w:val="00556CF1"/>
    <w:rsid w:val="00556D75"/>
    <w:rsid w:val="00561049"/>
    <w:rsid w:val="00562059"/>
    <w:rsid w:val="005762A7"/>
    <w:rsid w:val="00584B80"/>
    <w:rsid w:val="005877DE"/>
    <w:rsid w:val="005916D7"/>
    <w:rsid w:val="005A698C"/>
    <w:rsid w:val="005C1AF8"/>
    <w:rsid w:val="005D470D"/>
    <w:rsid w:val="005E0799"/>
    <w:rsid w:val="005F5A80"/>
    <w:rsid w:val="006044FF"/>
    <w:rsid w:val="00607CC5"/>
    <w:rsid w:val="00633014"/>
    <w:rsid w:val="0063437B"/>
    <w:rsid w:val="00653418"/>
    <w:rsid w:val="006673CA"/>
    <w:rsid w:val="00673C26"/>
    <w:rsid w:val="00674A8B"/>
    <w:rsid w:val="006812AF"/>
    <w:rsid w:val="0068327D"/>
    <w:rsid w:val="00685123"/>
    <w:rsid w:val="00691225"/>
    <w:rsid w:val="00694AF0"/>
    <w:rsid w:val="006A4229"/>
    <w:rsid w:val="006A4686"/>
    <w:rsid w:val="006B0E9E"/>
    <w:rsid w:val="006B208D"/>
    <w:rsid w:val="006B5AE4"/>
    <w:rsid w:val="006D0DD8"/>
    <w:rsid w:val="006D1507"/>
    <w:rsid w:val="006D1726"/>
    <w:rsid w:val="006D4054"/>
    <w:rsid w:val="006D6B72"/>
    <w:rsid w:val="006E02EC"/>
    <w:rsid w:val="007059D5"/>
    <w:rsid w:val="00706787"/>
    <w:rsid w:val="007162EB"/>
    <w:rsid w:val="007211B1"/>
    <w:rsid w:val="00725495"/>
    <w:rsid w:val="0072703F"/>
    <w:rsid w:val="00733D55"/>
    <w:rsid w:val="00746187"/>
    <w:rsid w:val="00751C16"/>
    <w:rsid w:val="00752A67"/>
    <w:rsid w:val="00761070"/>
    <w:rsid w:val="0076254F"/>
    <w:rsid w:val="00774FE9"/>
    <w:rsid w:val="007801F5"/>
    <w:rsid w:val="00783CA4"/>
    <w:rsid w:val="007842FB"/>
    <w:rsid w:val="00786124"/>
    <w:rsid w:val="0078756B"/>
    <w:rsid w:val="0079514B"/>
    <w:rsid w:val="007A2DC1"/>
    <w:rsid w:val="007B5183"/>
    <w:rsid w:val="007B74D8"/>
    <w:rsid w:val="007C17A2"/>
    <w:rsid w:val="007D3319"/>
    <w:rsid w:val="007D335D"/>
    <w:rsid w:val="007D660D"/>
    <w:rsid w:val="007E3314"/>
    <w:rsid w:val="007E4B03"/>
    <w:rsid w:val="007F324B"/>
    <w:rsid w:val="00802CA9"/>
    <w:rsid w:val="0080553C"/>
    <w:rsid w:val="00805B46"/>
    <w:rsid w:val="00813B5A"/>
    <w:rsid w:val="00820B10"/>
    <w:rsid w:val="0082498D"/>
    <w:rsid w:val="00825DC2"/>
    <w:rsid w:val="00831172"/>
    <w:rsid w:val="00832F57"/>
    <w:rsid w:val="00834AD3"/>
    <w:rsid w:val="00843795"/>
    <w:rsid w:val="00843E8B"/>
    <w:rsid w:val="00847F0F"/>
    <w:rsid w:val="00852448"/>
    <w:rsid w:val="0088258A"/>
    <w:rsid w:val="008832C4"/>
    <w:rsid w:val="00883763"/>
    <w:rsid w:val="00886332"/>
    <w:rsid w:val="008A19ED"/>
    <w:rsid w:val="008A26D9"/>
    <w:rsid w:val="008A3FBB"/>
    <w:rsid w:val="008C0C29"/>
    <w:rsid w:val="008C7A01"/>
    <w:rsid w:val="008E2E57"/>
    <w:rsid w:val="008F3638"/>
    <w:rsid w:val="008F4441"/>
    <w:rsid w:val="008F44C8"/>
    <w:rsid w:val="008F6580"/>
    <w:rsid w:val="008F6F31"/>
    <w:rsid w:val="008F74DF"/>
    <w:rsid w:val="009127BA"/>
    <w:rsid w:val="00916339"/>
    <w:rsid w:val="00916782"/>
    <w:rsid w:val="009227A6"/>
    <w:rsid w:val="00933B26"/>
    <w:rsid w:val="00933EC1"/>
    <w:rsid w:val="00944DFF"/>
    <w:rsid w:val="00952753"/>
    <w:rsid w:val="009530DB"/>
    <w:rsid w:val="00953676"/>
    <w:rsid w:val="009705EE"/>
    <w:rsid w:val="00977927"/>
    <w:rsid w:val="0098135C"/>
    <w:rsid w:val="0098156A"/>
    <w:rsid w:val="00990133"/>
    <w:rsid w:val="00991BAC"/>
    <w:rsid w:val="009971A4"/>
    <w:rsid w:val="009A6EA0"/>
    <w:rsid w:val="009B1399"/>
    <w:rsid w:val="009B424E"/>
    <w:rsid w:val="009C1335"/>
    <w:rsid w:val="009C1AB2"/>
    <w:rsid w:val="009C23D1"/>
    <w:rsid w:val="009C5407"/>
    <w:rsid w:val="009C7251"/>
    <w:rsid w:val="009E2E91"/>
    <w:rsid w:val="009E378D"/>
    <w:rsid w:val="009E3BF4"/>
    <w:rsid w:val="009F5815"/>
    <w:rsid w:val="00A0030D"/>
    <w:rsid w:val="00A07F00"/>
    <w:rsid w:val="00A12435"/>
    <w:rsid w:val="00A139F5"/>
    <w:rsid w:val="00A2136A"/>
    <w:rsid w:val="00A3441D"/>
    <w:rsid w:val="00A34C24"/>
    <w:rsid w:val="00A365F4"/>
    <w:rsid w:val="00A37CE0"/>
    <w:rsid w:val="00A460E6"/>
    <w:rsid w:val="00A46BD5"/>
    <w:rsid w:val="00A47D80"/>
    <w:rsid w:val="00A53132"/>
    <w:rsid w:val="00A563F2"/>
    <w:rsid w:val="00A566E8"/>
    <w:rsid w:val="00A72D71"/>
    <w:rsid w:val="00A810F9"/>
    <w:rsid w:val="00A86ECC"/>
    <w:rsid w:val="00A86FCC"/>
    <w:rsid w:val="00A94465"/>
    <w:rsid w:val="00A95B8D"/>
    <w:rsid w:val="00AA513E"/>
    <w:rsid w:val="00AA710D"/>
    <w:rsid w:val="00AB6D25"/>
    <w:rsid w:val="00AC3836"/>
    <w:rsid w:val="00AD4947"/>
    <w:rsid w:val="00AE20FD"/>
    <w:rsid w:val="00AE2D4B"/>
    <w:rsid w:val="00AE3075"/>
    <w:rsid w:val="00AE4F99"/>
    <w:rsid w:val="00B11B69"/>
    <w:rsid w:val="00B14952"/>
    <w:rsid w:val="00B20A71"/>
    <w:rsid w:val="00B21A47"/>
    <w:rsid w:val="00B31E5A"/>
    <w:rsid w:val="00B322EC"/>
    <w:rsid w:val="00B44A4C"/>
    <w:rsid w:val="00B609CE"/>
    <w:rsid w:val="00B60C1F"/>
    <w:rsid w:val="00B653AB"/>
    <w:rsid w:val="00B65F9E"/>
    <w:rsid w:val="00B66B19"/>
    <w:rsid w:val="00B765C0"/>
    <w:rsid w:val="00B8385C"/>
    <w:rsid w:val="00B914E9"/>
    <w:rsid w:val="00B9262E"/>
    <w:rsid w:val="00B93056"/>
    <w:rsid w:val="00B94737"/>
    <w:rsid w:val="00B956EE"/>
    <w:rsid w:val="00B97152"/>
    <w:rsid w:val="00BA2BA1"/>
    <w:rsid w:val="00BA3562"/>
    <w:rsid w:val="00BA5A42"/>
    <w:rsid w:val="00BB4F09"/>
    <w:rsid w:val="00BC5049"/>
    <w:rsid w:val="00BC561E"/>
    <w:rsid w:val="00BD4E33"/>
    <w:rsid w:val="00BD7810"/>
    <w:rsid w:val="00BE0F88"/>
    <w:rsid w:val="00BE6B1A"/>
    <w:rsid w:val="00C00EDA"/>
    <w:rsid w:val="00C030DE"/>
    <w:rsid w:val="00C22105"/>
    <w:rsid w:val="00C244B6"/>
    <w:rsid w:val="00C27183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576D"/>
    <w:rsid w:val="00CC739E"/>
    <w:rsid w:val="00CD1E2E"/>
    <w:rsid w:val="00CD58B7"/>
    <w:rsid w:val="00CF4099"/>
    <w:rsid w:val="00CF4CEE"/>
    <w:rsid w:val="00D00796"/>
    <w:rsid w:val="00D02D2C"/>
    <w:rsid w:val="00D261A2"/>
    <w:rsid w:val="00D37841"/>
    <w:rsid w:val="00D439FC"/>
    <w:rsid w:val="00D538E4"/>
    <w:rsid w:val="00D616D2"/>
    <w:rsid w:val="00D63B5F"/>
    <w:rsid w:val="00D7066F"/>
    <w:rsid w:val="00D7075D"/>
    <w:rsid w:val="00D70EF7"/>
    <w:rsid w:val="00D815F5"/>
    <w:rsid w:val="00D8397C"/>
    <w:rsid w:val="00D94EED"/>
    <w:rsid w:val="00D96026"/>
    <w:rsid w:val="00DA0243"/>
    <w:rsid w:val="00DA433C"/>
    <w:rsid w:val="00DA7C1C"/>
    <w:rsid w:val="00DB147A"/>
    <w:rsid w:val="00DB1B7A"/>
    <w:rsid w:val="00DC0EA4"/>
    <w:rsid w:val="00DC6708"/>
    <w:rsid w:val="00DD3949"/>
    <w:rsid w:val="00DE3FFF"/>
    <w:rsid w:val="00DF712D"/>
    <w:rsid w:val="00E01436"/>
    <w:rsid w:val="00E03AC4"/>
    <w:rsid w:val="00E045BD"/>
    <w:rsid w:val="00E17A9F"/>
    <w:rsid w:val="00E17B77"/>
    <w:rsid w:val="00E23337"/>
    <w:rsid w:val="00E25294"/>
    <w:rsid w:val="00E259EA"/>
    <w:rsid w:val="00E27C54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3910"/>
    <w:rsid w:val="00E64B54"/>
    <w:rsid w:val="00E664C5"/>
    <w:rsid w:val="00E671A2"/>
    <w:rsid w:val="00E76D26"/>
    <w:rsid w:val="00E82DA4"/>
    <w:rsid w:val="00E83887"/>
    <w:rsid w:val="00E94239"/>
    <w:rsid w:val="00EA143C"/>
    <w:rsid w:val="00EB02C9"/>
    <w:rsid w:val="00EB1390"/>
    <w:rsid w:val="00EB2C71"/>
    <w:rsid w:val="00EB4340"/>
    <w:rsid w:val="00EB556D"/>
    <w:rsid w:val="00EB5A7D"/>
    <w:rsid w:val="00EC6501"/>
    <w:rsid w:val="00ED55C0"/>
    <w:rsid w:val="00ED682B"/>
    <w:rsid w:val="00EE41D5"/>
    <w:rsid w:val="00EE696D"/>
    <w:rsid w:val="00EF7B36"/>
    <w:rsid w:val="00F004D1"/>
    <w:rsid w:val="00F037A4"/>
    <w:rsid w:val="00F11981"/>
    <w:rsid w:val="00F12FEC"/>
    <w:rsid w:val="00F257A6"/>
    <w:rsid w:val="00F26013"/>
    <w:rsid w:val="00F27C8F"/>
    <w:rsid w:val="00F30A0C"/>
    <w:rsid w:val="00F32749"/>
    <w:rsid w:val="00F37172"/>
    <w:rsid w:val="00F4272F"/>
    <w:rsid w:val="00F4477E"/>
    <w:rsid w:val="00F45717"/>
    <w:rsid w:val="00F65EEC"/>
    <w:rsid w:val="00F6637E"/>
    <w:rsid w:val="00F67D8F"/>
    <w:rsid w:val="00F739B3"/>
    <w:rsid w:val="00F74B10"/>
    <w:rsid w:val="00F77858"/>
    <w:rsid w:val="00F80247"/>
    <w:rsid w:val="00F802BE"/>
    <w:rsid w:val="00F80E93"/>
    <w:rsid w:val="00F86024"/>
    <w:rsid w:val="00F8611A"/>
    <w:rsid w:val="00F86C02"/>
    <w:rsid w:val="00F87711"/>
    <w:rsid w:val="00F90BB1"/>
    <w:rsid w:val="00F95867"/>
    <w:rsid w:val="00FA2470"/>
    <w:rsid w:val="00FA5128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B16D0CE-10BB-4F68-81CF-68F71EC0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6391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42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26" Type="http://schemas.openxmlformats.org/officeDocument/2006/relationships/hyperlink" Target="http://swaid.stat.gov.pl/SitePagesDBW/Ceny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hyperlink" Target="http://stat.gov.pl/sygnalne/informacje-sygnalne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obszary-tematyczne/ceny-handel/wskazniki-c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komunikaty-i-obwieszczenia/" TargetMode="External"/><Relationship Id="rId32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7.png"/><Relationship Id="rId28" Type="http://schemas.openxmlformats.org/officeDocument/2006/relationships/hyperlink" Target="https://bdl.stat.gov.pl/BDL/star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711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6.png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obszary-tematyczne/ceny-handel/ceny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Paliwa do prywatnych środków transportu</c:v>
                </c:pt>
                <c:pt idx="1">
                  <c:v>Odzież</c:v>
                </c:pt>
                <c:pt idx="2">
                  <c:v>Wyroby tytoniowe</c:v>
                </c:pt>
                <c:pt idx="3">
                  <c:v>Usługi telekomunikacyjne</c:v>
                </c:pt>
                <c:pt idx="4">
                  <c:v>Pieczywo i produkty zbożowe</c:v>
                </c:pt>
                <c:pt idx="5">
                  <c:v>Gastronomia</c:v>
                </c:pt>
                <c:pt idx="6">
                  <c:v>Napoje alkoholowe</c:v>
                </c:pt>
                <c:pt idx="7">
                  <c:v>Wywóz śmieci</c:v>
                </c:pt>
                <c:pt idx="8">
                  <c:v>Warzywa</c:v>
                </c:pt>
                <c:pt idx="9">
                  <c:v>Owoce</c:v>
                </c:pt>
                <c:pt idx="10">
                  <c:v>Nośniki energii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-0.09</c:v>
                </c:pt>
                <c:pt idx="1">
                  <c:v>-0.04</c:v>
                </c:pt>
                <c:pt idx="2">
                  <c:v>0.04</c:v>
                </c:pt>
                <c:pt idx="3">
                  <c:v>0.04</c:v>
                </c:pt>
                <c:pt idx="4">
                  <c:v>0.05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7.0000000000000007E-2</c:v>
                </c:pt>
                <c:pt idx="9">
                  <c:v>0.08</c:v>
                </c:pt>
                <c:pt idx="1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33781264"/>
        <c:axId val="-1533778000"/>
      </c:barChart>
      <c:catAx>
        <c:axId val="-153378126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33778000"/>
        <c:crossesAt val="0"/>
        <c:auto val="1"/>
        <c:lblAlgn val="ctr"/>
        <c:lblOffset val="100"/>
        <c:tickMarkSkip val="1"/>
        <c:noMultiLvlLbl val="0"/>
      </c:catAx>
      <c:valAx>
        <c:axId val="-1533778000"/>
        <c:scaling>
          <c:orientation val="minMax"/>
          <c:max val="0.2"/>
          <c:min val="-0.1200000000000000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33781264"/>
        <c:crosses val="autoZero"/>
        <c:crossBetween val="between"/>
        <c:majorUnit val="6.0000000000000012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9.3315604743701291E-3"/>
                  <c:y val="-1.791208578881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8495937741364652E-3"/>
                  <c:y val="-9.7246642836440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740856251772E-2"/>
                  <c:y val="-2.9599072553376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731372759891675E-2"/>
                  <c:y val="4.548507390590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4538584124439055E-2"/>
                  <c:y val="4.3977973142691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08219035579088E-2"/>
                  <c:y val="-2.5972559426345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7.9132394696016153E-3"/>
                  <c:y val="4.956384128454531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2313856228663533E-2"/>
                  <c:y val="-2.5505239917858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0352535301825363E-2"/>
                  <c:y val="-2.1503427397973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8.3261618320014837E-3"/>
                  <c:y val="3.0704801605681642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'M-1'!$B$26:$B$51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'M-1'!$C$26:$C$51</c:f>
              <c:numCache>
                <c:formatCode>0.0</c:formatCode>
                <c:ptCount val="26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</c:v>
                </c:pt>
                <c:pt idx="22">
                  <c:v>0.1</c:v>
                </c:pt>
                <c:pt idx="23">
                  <c:v>0.8</c:v>
                </c:pt>
                <c:pt idx="24">
                  <c:v>0.9</c:v>
                </c:pt>
                <c:pt idx="25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33782896"/>
        <c:axId val="-1533780720"/>
      </c:lineChart>
      <c:dateAx>
        <c:axId val="-153378289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33780720"/>
        <c:crossesAt val="0"/>
        <c:auto val="0"/>
        <c:lblOffset val="100"/>
        <c:baseTimeUnit val="days"/>
      </c:dateAx>
      <c:valAx>
        <c:axId val="-1533780720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3378289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48856233161891E-2"/>
                  <c:y val="3.891486426086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5814352192E-2"/>
                  <c:y val="3.8940904409335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186333578251285E-2"/>
                  <c:y val="-4.044967838473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5632525104090129E-2"/>
                  <c:y val="3.8454303426028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2979867744305566E-2"/>
                  <c:y val="1.8086243417089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097967180994375E-3"/>
                  <c:y val="9.77321751297149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176585843743E-2"/>
                  <c:y val="2.14978915252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5974528532941464E-2"/>
                  <c:y val="2.3146971375269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23732549595887E-2"/>
                  <c:y val="-4.940671213976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7841092794142937E-2"/>
                  <c:y val="-4.527742798677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0808131276022533E-2"/>
                  <c:y val="4.7875007287354982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4,7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(+FE)'!$B$26:$B$51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'M-12 (+FE)'!$C$26:$C$51</c:f>
              <c:numCache>
                <c:formatCode>0.0</c:formatCode>
                <c:ptCount val="26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  <c:pt idx="24">
                  <c:v>4.3</c:v>
                </c:pt>
                <c:pt idx="25">
                  <c:v>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33776368"/>
        <c:axId val="-1533780176"/>
      </c:lineChart>
      <c:dateAx>
        <c:axId val="-153377636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33780176"/>
        <c:crossesAt val="0"/>
        <c:auto val="0"/>
        <c:lblOffset val="100"/>
        <c:baseTimeUnit val="days"/>
      </c:dateAx>
      <c:valAx>
        <c:axId val="-153378017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3377636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m-12'!$B$27:$B$52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'CPI_HICP m-12'!$C$27:$C$52</c:f>
              <c:numCache>
                <c:formatCode>0.0</c:formatCode>
                <c:ptCount val="26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  <c:pt idx="24">
                  <c:v>4.3</c:v>
                </c:pt>
                <c:pt idx="25">
                  <c:v>4.7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m-12'!$B$27:$B$52</c:f>
              <c:strCache>
                <c:ptCount val="2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</c:strCache>
            </c:strRef>
          </c:cat>
          <c:val>
            <c:numRef>
              <c:f>'CPI_HICP m-12'!$E$27:$E$51</c:f>
              <c:numCache>
                <c:formatCode>0.0</c:formatCode>
                <c:ptCount val="25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2.2999999999999998</c:v>
                </c:pt>
                <c:pt idx="18">
                  <c:v>2.5</c:v>
                </c:pt>
                <c:pt idx="19">
                  <c:v>2.6</c:v>
                </c:pt>
                <c:pt idx="20">
                  <c:v>2.4</c:v>
                </c:pt>
                <c:pt idx="21">
                  <c:v>2.2999999999999998</c:v>
                </c:pt>
                <c:pt idx="22">
                  <c:v>2.4</c:v>
                </c:pt>
                <c:pt idx="23">
                  <c:v>3</c:v>
                </c:pt>
                <c:pt idx="24">
                  <c:v>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33783440"/>
        <c:axId val="-1533776912"/>
      </c:lineChart>
      <c:catAx>
        <c:axId val="-1533783440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53377691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1533776912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533783440"/>
        <c:crosses val="autoZero"/>
        <c:crossBetween val="between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0977084895638041"/>
          <c:y val="0.6194598967133156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0.93108</cdr:y>
    </cdr:from>
    <cdr:to>
      <cdr:x>0.46697</cdr:x>
      <cdr:y>0.99879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286" y="2414015"/>
          <a:ext cx="2047784" cy="17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0.4684</cdr:x>
      <cdr:y>0.93108</cdr:y>
    </cdr:from>
    <cdr:to>
      <cdr:x>0.86539</cdr:x>
      <cdr:y>0.9988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399386" y="2414016"/>
          <a:ext cx="2033625" cy="17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0.86536</cdr:x>
      <cdr:y>0.86801</cdr:y>
    </cdr:from>
    <cdr:to>
      <cdr:x>0.86571</cdr:x>
      <cdr:y>0.95211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4445025" y="2216294"/>
          <a:ext cx="1798" cy="21473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0.86682</cdr:x>
      <cdr:y>0.9339</cdr:y>
    </cdr:from>
    <cdr:to>
      <cdr:x>0.92394</cdr:x>
      <cdr:y>0.9988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4440327" y="2421332"/>
          <a:ext cx="292608" cy="1682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0.46829</cdr:x>
      <cdr:y>0.86503</cdr:y>
    </cdr:from>
    <cdr:to>
      <cdr:x>0.46864</cdr:x>
      <cdr:y>0.94913</cdr:y>
    </cdr:to>
    <cdr:sp macro="" textlink="">
      <cdr:nvSpPr>
        <cdr:cNvPr id="8" name="Łącznik prosty 9"/>
        <cdr:cNvSpPr/>
      </cdr:nvSpPr>
      <cdr:spPr bwMode="auto">
        <a:xfrm xmlns:a="http://schemas.openxmlformats.org/drawingml/2006/main" flipH="1" flipV="1">
          <a:off x="2398814" y="2242772"/>
          <a:ext cx="1792" cy="21804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1960" y="1601600"/>
          <a:ext cx="4394482" cy="72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0.06743</cdr:x>
      <cdr:y>0.29385</cdr:y>
    </cdr:from>
    <cdr:to>
      <cdr:x>0.92846</cdr:x>
      <cdr:y>0.29509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44123" y="756072"/>
          <a:ext cx="4394482" cy="319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0.42154</cdr:x>
      <cdr:y>0.30414</cdr:y>
    </cdr:from>
    <cdr:to>
      <cdr:x>0.60299</cdr:x>
      <cdr:y>0.40044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55881" y="798618"/>
          <a:ext cx="927997" cy="2528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0.53629</cdr:x>
      <cdr:y>0.38152</cdr:y>
    </cdr:from>
    <cdr:to>
      <cdr:x>0.57818</cdr:x>
      <cdr:y>0.4548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742768" y="1001825"/>
          <a:ext cx="214216" cy="19242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0.15781</cdr:x>
      <cdr:y>0.31128</cdr:y>
    </cdr:from>
    <cdr:to>
      <cdr:x>0.36937</cdr:x>
      <cdr:y>0.45649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807384" y="804784"/>
          <a:ext cx="1082377" cy="3754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0.35993</cdr:x>
      <cdr:y>0.29159</cdr:y>
    </cdr:from>
    <cdr:to>
      <cdr:x>0.41201</cdr:x>
      <cdr:y>0.37976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841444" y="753881"/>
          <a:ext cx="266464" cy="2279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0.35906</cdr:x>
      <cdr:y>0.37996</cdr:y>
    </cdr:from>
    <cdr:to>
      <cdr:x>0.49563</cdr:x>
      <cdr:y>0.61814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845151" y="975726"/>
          <a:ext cx="701836" cy="61161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0.46539</cdr:x>
      <cdr:y>0.93187</cdr:y>
    </cdr:from>
    <cdr:to>
      <cdr:x>0.86244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2391584" y="2392983"/>
          <a:ext cx="2040355" cy="162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0.86146</cdr:x>
      <cdr:y>0.93049</cdr:y>
    </cdr:from>
    <cdr:to>
      <cdr:x>0.9278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4426926" y="2389435"/>
          <a:ext cx="340895" cy="1704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0.86173</cdr:x>
      <cdr:y>0.86259</cdr:y>
    </cdr:from>
    <cdr:to>
      <cdr:x>0.86208</cdr:x>
      <cdr:y>0.9463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4414262" y="2235337"/>
          <a:ext cx="1793" cy="21692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0.46485</cdr:x>
      <cdr:y>0.87315</cdr:y>
    </cdr:from>
    <cdr:to>
      <cdr:x>0.46491</cdr:x>
      <cdr:y>0.95323</cdr:y>
    </cdr:to>
    <cdr:sp macro="" textlink="">
      <cdr:nvSpPr>
        <cdr:cNvPr id="24" name="Łącznik prosty 22"/>
        <cdr:cNvSpPr/>
      </cdr:nvSpPr>
      <cdr:spPr bwMode="auto">
        <a:xfrm xmlns:a="http://schemas.openxmlformats.org/drawingml/2006/main" flipH="1" flipV="1">
          <a:off x="2381204" y="2262703"/>
          <a:ext cx="330" cy="20754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0.92232</cdr:y>
    </cdr:from>
    <cdr:to>
      <cdr:x>0.45742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2453" y="2314575"/>
          <a:ext cx="2010697" cy="1537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0.46414</cdr:x>
      <cdr:y>0.86001</cdr:y>
    </cdr:from>
    <cdr:to>
      <cdr:x>0.46441</cdr:x>
      <cdr:y>0.93462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384849" y="2156699"/>
          <a:ext cx="1387" cy="18710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0.686</cdr:x>
      <cdr:y>0.92017</cdr:y>
    </cdr:from>
    <cdr:to>
      <cdr:x>0.88945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514066" y="2309185"/>
          <a:ext cx="1042182" cy="175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0.86313</cdr:x>
      <cdr:y>0.8553</cdr:y>
    </cdr:from>
    <cdr:to>
      <cdr:x>0.8634</cdr:x>
      <cdr:y>0.92991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H="1" flipV="1">
          <a:off x="4434983" y="2144886"/>
          <a:ext cx="1387" cy="1871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1C3B58C6-4418-40C8-AC14-5095F5FE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2020-03-13T08:25:00Z</cp:lastPrinted>
  <dcterms:created xsi:type="dcterms:W3CDTF">2020-03-13T08:45:00Z</dcterms:created>
  <dcterms:modified xsi:type="dcterms:W3CDTF">2020-03-13T08:45:00Z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