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586CCF">
        <w:rPr>
          <w:shd w:val="clear" w:color="auto" w:fill="FFFFFF"/>
        </w:rPr>
        <w:t>marcu</w:t>
      </w:r>
      <w:r w:rsidR="00767D12">
        <w:rPr>
          <w:shd w:val="clear" w:color="auto" w:fill="FFFFFF"/>
        </w:rPr>
        <w:t xml:space="preserve"> 2021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AD795D" w:rsidP="00515E9A">
      <w:pPr>
        <w:pStyle w:val="LID"/>
        <w:rPr>
          <w:b w:val="0"/>
          <w:color w:val="212492"/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kKwIAACo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" fillcolor="#001d77" stroked="f">
            <v:textbox style="mso-next-textbox:#_x0000_s1027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1C6EA3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586CCF">
                    <w:rPr>
                      <w:rFonts w:ascii="Fira Sans SemiBold" w:hAnsi="Fira Sans SemiBold"/>
                      <w:color w:val="FFFFFF"/>
                      <w:sz w:val="72"/>
                    </w:rPr>
                    <w:t>3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DD6DBA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Spadek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586CCF">
        <w:t>marcu</w:t>
      </w:r>
      <w:r w:rsidR="00110ED3">
        <w:t xml:space="preserve"> 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DD6DBA" w:rsidRPr="00705D39">
        <w:t>niższe</w:t>
      </w:r>
      <w:r w:rsidR="00A31BEF" w:rsidRPr="00705D39">
        <w:t xml:space="preserve"> o </w:t>
      </w:r>
      <w:r w:rsidR="001C6EA3">
        <w:t>1</w:t>
      </w:r>
      <w:r w:rsidR="00DD2799" w:rsidRPr="00705D39">
        <w:t>,</w:t>
      </w:r>
      <w:r w:rsidR="00586CCF">
        <w:t>3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1C6EA3">
        <w:t>3</w:t>
      </w:r>
      <w:r w:rsidR="00586CCF">
        <w:t>0</w:t>
      </w:r>
      <w:r w:rsidR="00613807">
        <w:t>,3</w:t>
      </w:r>
      <w:r w:rsidR="003F1D4E" w:rsidRPr="00705D39">
        <w:t xml:space="preserve"> </w:t>
      </w:r>
      <w:r w:rsidR="00515E9A" w:rsidRPr="00705D39">
        <w:t xml:space="preserve">tys., </w:t>
      </w:r>
      <w:r w:rsidR="00F42C52" w:rsidRPr="00705D39">
        <w:t xml:space="preserve">natomiast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586CCF">
        <w:t>8</w:t>
      </w:r>
      <w:r w:rsidR="00615AA7">
        <w:t>,</w:t>
      </w:r>
      <w:r w:rsidR="00586CCF">
        <w:t>0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586CCF">
        <w:t>929,05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1C6EA3" w:rsidRPr="001C6EA3" w:rsidRDefault="00FF7045" w:rsidP="001C6EA3">
      <w:pPr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br/>
      </w:r>
      <w:r w:rsidR="00B5169C"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="00B5169C"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dotyczą podmiotów, w których</w:t>
      </w:r>
      <w:r w:rsidR="00B5169C" w:rsidRPr="004F7579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="00B5169C"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="00B5169C"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</w:p>
    <w:p w:rsidR="008B00A7" w:rsidRDefault="008B00A7" w:rsidP="00CD4A9F">
      <w:pPr>
        <w:pStyle w:val="tytuwykresu"/>
        <w:tabs>
          <w:tab w:val="left" w:pos="709"/>
        </w:tabs>
      </w:pPr>
    </w:p>
    <w:p w:rsidR="003A1615" w:rsidRPr="00CD4A9F" w:rsidRDefault="00AD795D" w:rsidP="00CD4A9F">
      <w:pPr>
        <w:pStyle w:val="tytuwykresu"/>
        <w:tabs>
          <w:tab w:val="left" w:pos="709"/>
        </w:tabs>
      </w:pPr>
      <w:r>
        <w:pict>
          <v:shape id="Pole tekstowe 2" o:spid="_x0000_s1036" type="#_x0000_t202" style="position:absolute;margin-left:418.6pt;margin-top:25.1pt;width:135.85pt;height:159.6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Sdk3zt8AAAALAQAADwAAAAAAAAAAAAAAAABqBAAAZHJzL2Rvd25yZXYueG1sUEsFBgAAAAAEAAQA&#10;8wAAAHYFAAAAAA==&#10;" filled="f" stroked="f">
            <v:textbox style="mso-next-textbox:#Pole tekstowe 2">
              <w:txbxContent>
                <w:p w:rsidR="003A1615" w:rsidRPr="00705D39" w:rsidRDefault="00380302" w:rsidP="00A012EB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3B0EF4">
                    <w:t>sektorze przedsiębiorstw w marcu</w:t>
                  </w:r>
                  <w:r w:rsidR="00A01CDF">
                    <w:t xml:space="preserve"> </w:t>
                  </w:r>
                  <w:r w:rsidR="00BB0084" w:rsidRPr="00E206F4">
                    <w:t>202</w:t>
                  </w:r>
                  <w:r w:rsidR="00A01CDF">
                    <w:t>1</w:t>
                  </w:r>
                  <w:r w:rsidR="00BB0084" w:rsidRPr="00E206F4">
                    <w:t xml:space="preserve"> r.</w:t>
                  </w:r>
                  <w:r w:rsidR="00C7754E">
                    <w:t xml:space="preserve"> w </w:t>
                  </w:r>
                  <w:r w:rsidR="006421E5" w:rsidRPr="00705D39">
                    <w:t>porównaniu do poprzedniego miesiąca</w:t>
                  </w:r>
                  <w:r w:rsidR="006421E5">
                    <w:t xml:space="preserve"> </w:t>
                  </w:r>
                  <w:r w:rsidR="001C6EA3">
                    <w:t xml:space="preserve">zanotowano wzrost </w:t>
                  </w:r>
                  <w:r w:rsidR="001E6F2B">
                    <w:t xml:space="preserve">przeciętnego miesięcznego wynagrodzenia, zaś przeciętne zatrudnienie utrzymało się na poziomie zbliżonym do </w:t>
                  </w:r>
                  <w:r w:rsidR="003B0EF4">
                    <w:t>obserwowanego miesiąc wcześniej</w:t>
                  </w: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52109B" w:rsidRPr="00CD4A9F">
        <w:t xml:space="preserve"> </w:t>
      </w:r>
      <w:r w:rsidR="00586CCF">
        <w:t>marcu</w:t>
      </w:r>
      <w:r w:rsidR="005755F1" w:rsidRPr="00CD4A9F">
        <w:t xml:space="preserve"> 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86CCF" w:rsidP="006915C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II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6915C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II</w:t>
            </w:r>
            <w:r w:rsidR="00586CCF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86CCF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86CCF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6915CB" w:rsidP="006915C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I-II</w:t>
            </w:r>
            <w:r w:rsidR="00586CCF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A2665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1C6EA3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586CCF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</w:t>
            </w:r>
            <w:r w:rsidR="00A26650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1E6F2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1C6EA3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98,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929,05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675,54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,7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928,95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675,47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1E6F2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1E6F2B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,7</w:t>
            </w:r>
          </w:p>
        </w:tc>
      </w:tr>
    </w:tbl>
    <w:p w:rsidR="008B00A7" w:rsidRDefault="008B00A7" w:rsidP="008B00A7">
      <w:pPr>
        <w:rPr>
          <w:rFonts w:eastAsia="Calibri"/>
          <w:shd w:val="clear" w:color="auto" w:fill="FFFFFF"/>
        </w:rPr>
      </w:pPr>
    </w:p>
    <w:p w:rsidR="00C73DAE" w:rsidRDefault="005124A2" w:rsidP="00C73DAE">
      <w:pPr>
        <w:spacing w:before="0"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</w:t>
      </w:r>
      <w:r w:rsidR="001E6F2B">
        <w:rPr>
          <w:rFonts w:eastAsia="Calibri"/>
          <w:shd w:val="clear" w:color="auto" w:fill="FFFFFF"/>
        </w:rPr>
        <w:t>marcu</w:t>
      </w:r>
      <w:r w:rsidR="0060388E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1E6F2B">
        <w:rPr>
          <w:rFonts w:eastAsia="Calibri"/>
          <w:shd w:val="clear" w:color="auto" w:fill="FFFFFF"/>
        </w:rPr>
        <w:t>utrzymało się na poziomie zbliżonym do notowanego miesiąc wcześniej (spadek o 0,1%).</w:t>
      </w:r>
      <w:r w:rsidR="00C73DAE">
        <w:rPr>
          <w:rFonts w:eastAsia="Calibri"/>
          <w:shd w:val="clear" w:color="auto" w:fill="FFFFFF"/>
        </w:rPr>
        <w:t xml:space="preserve"> W relacji do analogicznego okresu rok wcześniej zaobserwowano kontynuację spadku przeciętnego zatrudnienia, jednak w </w:t>
      </w:r>
      <w:r w:rsidR="001E6F2B">
        <w:rPr>
          <w:rFonts w:eastAsia="Calibri"/>
          <w:shd w:val="clear" w:color="auto" w:fill="FFFFFF"/>
        </w:rPr>
        <w:t>marcu</w:t>
      </w:r>
      <w:r w:rsidR="00C73DAE">
        <w:rPr>
          <w:rFonts w:eastAsia="Calibri"/>
          <w:shd w:val="clear" w:color="auto" w:fill="FFFFFF"/>
        </w:rPr>
        <w:t xml:space="preserve"> br. był </w:t>
      </w:r>
      <w:r w:rsidR="00BA4437">
        <w:rPr>
          <w:rFonts w:eastAsia="Calibri"/>
          <w:shd w:val="clear" w:color="auto" w:fill="FFFFFF"/>
        </w:rPr>
        <w:t xml:space="preserve">on </w:t>
      </w:r>
      <w:r w:rsidR="00C73DAE">
        <w:rPr>
          <w:rFonts w:eastAsia="Calibri"/>
          <w:shd w:val="clear" w:color="auto" w:fill="FFFFFF"/>
        </w:rPr>
        <w:t>minimal</w:t>
      </w:r>
      <w:r w:rsidR="00B62EE1">
        <w:rPr>
          <w:rFonts w:eastAsia="Calibri"/>
          <w:shd w:val="clear" w:color="auto" w:fill="FFFFFF"/>
        </w:rPr>
        <w:t xml:space="preserve">nie słabszy niż w </w:t>
      </w:r>
      <w:r w:rsidR="001E6F2B">
        <w:rPr>
          <w:rFonts w:eastAsia="Calibri"/>
          <w:shd w:val="clear" w:color="auto" w:fill="FFFFFF"/>
        </w:rPr>
        <w:t>lutym</w:t>
      </w:r>
      <w:r w:rsidR="00B62EE1">
        <w:rPr>
          <w:rFonts w:eastAsia="Calibri"/>
          <w:shd w:val="clear" w:color="auto" w:fill="FFFFFF"/>
        </w:rPr>
        <w:t xml:space="preserve"> 2021 </w:t>
      </w:r>
      <w:r w:rsidR="00C73DAE">
        <w:rPr>
          <w:rFonts w:eastAsia="Calibri"/>
          <w:shd w:val="clear" w:color="auto" w:fill="FFFFFF"/>
        </w:rPr>
        <w:t>r. (odpowiednio o 1,</w:t>
      </w:r>
      <w:r w:rsidR="001E6F2B">
        <w:rPr>
          <w:rFonts w:eastAsia="Calibri"/>
          <w:shd w:val="clear" w:color="auto" w:fill="FFFFFF"/>
        </w:rPr>
        <w:t>3</w:t>
      </w:r>
      <w:r w:rsidR="00C73DAE">
        <w:rPr>
          <w:rFonts w:eastAsia="Calibri"/>
          <w:shd w:val="clear" w:color="auto" w:fill="FFFFFF"/>
        </w:rPr>
        <w:t xml:space="preserve">% i o </w:t>
      </w:r>
      <w:r w:rsidR="001E6F2B">
        <w:rPr>
          <w:rFonts w:eastAsia="Calibri"/>
          <w:shd w:val="clear" w:color="auto" w:fill="FFFFFF"/>
        </w:rPr>
        <w:t>1</w:t>
      </w:r>
      <w:r w:rsidR="00C73DAE">
        <w:rPr>
          <w:rFonts w:eastAsia="Calibri"/>
          <w:shd w:val="clear" w:color="auto" w:fill="FFFFFF"/>
        </w:rPr>
        <w:t>,</w:t>
      </w:r>
      <w:r w:rsidR="001E6F2B">
        <w:rPr>
          <w:rFonts w:eastAsia="Calibri"/>
          <w:shd w:val="clear" w:color="auto" w:fill="FFFFFF"/>
        </w:rPr>
        <w:t>7</w:t>
      </w:r>
      <w:r w:rsidR="00C73DAE">
        <w:rPr>
          <w:rFonts w:eastAsia="Calibri"/>
          <w:shd w:val="clear" w:color="auto" w:fill="FFFFFF"/>
        </w:rPr>
        <w:t xml:space="preserve">%). </w:t>
      </w:r>
    </w:p>
    <w:p w:rsidR="00C73DAE" w:rsidRDefault="00C73DAE" w:rsidP="00B75E25">
      <w:pPr>
        <w:spacing w:before="0" w:after="0"/>
        <w:rPr>
          <w:rFonts w:eastAsia="Calibri"/>
          <w:shd w:val="clear" w:color="auto" w:fill="FFFFFF"/>
        </w:rPr>
      </w:pPr>
    </w:p>
    <w:p w:rsidR="00C73DAE" w:rsidRDefault="00C73DAE" w:rsidP="00B75E25">
      <w:pPr>
        <w:spacing w:before="0" w:after="0"/>
        <w:rPr>
          <w:rFonts w:eastAsia="Calibri"/>
          <w:shd w:val="clear" w:color="auto" w:fill="FFFFFF"/>
        </w:rPr>
      </w:pPr>
    </w:p>
    <w:p w:rsidR="006B66C0" w:rsidRDefault="003903D7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244475</wp:posOffset>
            </wp:positionV>
            <wp:extent cx="5122545" cy="3409950"/>
            <wp:effectExtent l="19050" t="0" r="1905" b="0"/>
            <wp:wrapSquare wrapText="bothSides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820B99" w:rsidRPr="00CD5A8E">
        <w:rPr>
          <w:rFonts w:eastAsia="Calibri"/>
          <w:b w:val="0"/>
          <w:sz w:val="19"/>
          <w:szCs w:val="19"/>
          <w:shd w:val="clear" w:color="auto" w:fill="FFFFFF"/>
        </w:rPr>
        <w:t>w 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kolejnych miesiącach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2020 r.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zaczęto obserwować jego 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162CA1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Tak wyraźne zmiany przeciętnego zatrudnienia </w:t>
      </w:r>
      <w:r w:rsidR="009A4971" w:rsidRPr="00CD5A8E">
        <w:rPr>
          <w:rFonts w:eastAsia="Calibri"/>
          <w:b w:val="0"/>
          <w:sz w:val="19"/>
          <w:szCs w:val="19"/>
          <w:shd w:val="clear" w:color="auto" w:fill="FFFFFF"/>
        </w:rPr>
        <w:t>w trakcie roku nie występowały</w:t>
      </w:r>
      <w:r w:rsidR="00162CA1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w </w:t>
      </w:r>
      <w:r w:rsidR="00353C8A" w:rsidRPr="00CD5A8E">
        <w:rPr>
          <w:rFonts w:eastAsia="Calibri"/>
          <w:b w:val="0"/>
          <w:sz w:val="19"/>
          <w:szCs w:val="19"/>
          <w:shd w:val="clear" w:color="auto" w:fill="FFFFFF"/>
        </w:rPr>
        <w:t>ubiegłych</w:t>
      </w:r>
      <w:r w:rsidR="00162CA1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latach.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5A4EFC" w:rsidRPr="00CD5A8E">
        <w:rPr>
          <w:rFonts w:eastAsia="Calibri"/>
          <w:b w:val="0"/>
          <w:sz w:val="19"/>
          <w:szCs w:val="19"/>
          <w:shd w:val="clear" w:color="auto" w:fill="FFFFFF"/>
        </w:rPr>
        <w:br/>
      </w:r>
      <w:r w:rsidR="00B75E25"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1E6F2B">
        <w:rPr>
          <w:rFonts w:eastAsia="Calibri"/>
          <w:b w:val="0"/>
          <w:sz w:val="19"/>
          <w:szCs w:val="19"/>
          <w:shd w:val="clear" w:color="auto" w:fill="FFFFFF"/>
        </w:rPr>
        <w:t>marcu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2021 r. </w:t>
      </w:r>
      <w:r w:rsidR="00A41E44">
        <w:rPr>
          <w:rFonts w:eastAsia="Calibri"/>
          <w:b w:val="0"/>
          <w:sz w:val="19"/>
          <w:szCs w:val="19"/>
          <w:shd w:val="clear" w:color="auto" w:fill="FFFFFF"/>
        </w:rPr>
        <w:t>widoczny był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niewielki </w:t>
      </w:r>
      <w:r w:rsidR="001E6F2B">
        <w:rPr>
          <w:rFonts w:eastAsia="Calibri"/>
          <w:b w:val="0"/>
          <w:sz w:val="19"/>
          <w:szCs w:val="19"/>
          <w:shd w:val="clear" w:color="auto" w:fill="FFFFFF"/>
        </w:rPr>
        <w:t>spadek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p</w:t>
      </w:r>
      <w:r w:rsidR="00B16A29">
        <w:rPr>
          <w:rFonts w:eastAsia="Calibri"/>
          <w:b w:val="0"/>
          <w:sz w:val="19"/>
          <w:szCs w:val="19"/>
          <w:shd w:val="clear" w:color="auto" w:fill="FFFFFF"/>
        </w:rPr>
        <w:t>rzeciętnego zatrudnienia o ok. 5 tys. etatów</w:t>
      </w:r>
      <w:r w:rsidR="00E61EB1">
        <w:rPr>
          <w:rFonts w:eastAsia="Calibri"/>
          <w:b w:val="0"/>
          <w:sz w:val="19"/>
          <w:szCs w:val="19"/>
          <w:shd w:val="clear" w:color="auto" w:fill="FFFFFF"/>
        </w:rPr>
        <w:t xml:space="preserve">, </w:t>
      </w:r>
      <w:r w:rsidR="00B62EE1">
        <w:rPr>
          <w:rFonts w:eastAsia="Calibri"/>
          <w:b w:val="0"/>
          <w:sz w:val="19"/>
          <w:szCs w:val="19"/>
          <w:shd w:val="clear" w:color="auto" w:fill="FFFFFF"/>
        </w:rPr>
        <w:t>podczas gdy</w:t>
      </w:r>
      <w:r w:rsidR="00E61EB1">
        <w:rPr>
          <w:rFonts w:eastAsia="Calibri"/>
          <w:b w:val="0"/>
          <w:sz w:val="19"/>
          <w:szCs w:val="19"/>
          <w:shd w:val="clear" w:color="auto" w:fill="FFFFFF"/>
        </w:rPr>
        <w:t xml:space="preserve"> w </w:t>
      </w:r>
      <w:r w:rsidR="00B16A29">
        <w:rPr>
          <w:rFonts w:eastAsia="Calibri"/>
          <w:b w:val="0"/>
          <w:sz w:val="19"/>
          <w:szCs w:val="19"/>
          <w:shd w:val="clear" w:color="auto" w:fill="FFFFFF"/>
        </w:rPr>
        <w:t>lutym</w:t>
      </w:r>
      <w:r w:rsidR="00E61EB1">
        <w:rPr>
          <w:rFonts w:eastAsia="Calibri"/>
          <w:b w:val="0"/>
          <w:sz w:val="19"/>
          <w:szCs w:val="19"/>
          <w:shd w:val="clear" w:color="auto" w:fill="FFFFFF"/>
        </w:rPr>
        <w:t xml:space="preserve"> br. </w:t>
      </w:r>
      <w:r w:rsidR="00A41E44">
        <w:rPr>
          <w:rFonts w:eastAsia="Calibri"/>
          <w:b w:val="0"/>
          <w:sz w:val="19"/>
          <w:szCs w:val="19"/>
          <w:shd w:val="clear" w:color="auto" w:fill="FFFFFF"/>
        </w:rPr>
        <w:t>odnotowano</w:t>
      </w:r>
      <w:r w:rsidR="00E61EB1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A41E44">
        <w:rPr>
          <w:rFonts w:eastAsia="Calibri"/>
          <w:b w:val="0"/>
          <w:sz w:val="19"/>
          <w:szCs w:val="19"/>
          <w:shd w:val="clear" w:color="auto" w:fill="FFFFFF"/>
        </w:rPr>
        <w:t xml:space="preserve">jego </w:t>
      </w:r>
      <w:r w:rsidR="00B16A29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E61EB1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5A4EF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</w:p>
    <w:p w:rsidR="003F55FD" w:rsidRDefault="005C2997" w:rsidP="00FF7045">
      <w:pPr>
        <w:spacing w:before="240"/>
        <w:rPr>
          <w:szCs w:val="19"/>
        </w:rPr>
      </w:pPr>
      <w:r>
        <w:rPr>
          <w:szCs w:val="19"/>
        </w:rPr>
        <w:t xml:space="preserve">W przypadku </w:t>
      </w:r>
      <w:r w:rsidRPr="005C2997">
        <w:rPr>
          <w:b/>
          <w:szCs w:val="19"/>
        </w:rPr>
        <w:t>przeciętnego miesięcznego wynagrodzenia brutto w sektorze przedsiębiorstw</w:t>
      </w:r>
      <w:r>
        <w:rPr>
          <w:szCs w:val="19"/>
        </w:rPr>
        <w:t>, w</w:t>
      </w:r>
      <w:r w:rsidR="006D62A4">
        <w:rPr>
          <w:szCs w:val="19"/>
        </w:rPr>
        <w:t xml:space="preserve"> </w:t>
      </w:r>
      <w:r w:rsidR="00B16A29">
        <w:rPr>
          <w:szCs w:val="19"/>
        </w:rPr>
        <w:t>marcu</w:t>
      </w:r>
      <w:r w:rsidR="006D62A4"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r.</w:t>
      </w:r>
      <w:r w:rsidR="00E2113D" w:rsidRPr="002D6BA5">
        <w:rPr>
          <w:szCs w:val="19"/>
        </w:rPr>
        <w:t xml:space="preserve"> </w:t>
      </w:r>
      <w:r w:rsidR="003F1AB1">
        <w:rPr>
          <w:szCs w:val="19"/>
        </w:rPr>
        <w:t>w porównaniu z poprzednim miesiącem,</w:t>
      </w:r>
      <w:r w:rsidR="00D14E01" w:rsidRPr="002D6BA5">
        <w:rPr>
          <w:szCs w:val="19"/>
        </w:rPr>
        <w:t xml:space="preserve"> odnotowano </w:t>
      </w:r>
      <w:r w:rsidR="00E61EB1">
        <w:rPr>
          <w:szCs w:val="19"/>
        </w:rPr>
        <w:t>wzrost</w:t>
      </w:r>
      <w:r w:rsidR="00C02953">
        <w:rPr>
          <w:szCs w:val="19"/>
        </w:rPr>
        <w:t xml:space="preserve"> </w:t>
      </w:r>
      <w:r w:rsidR="00134257">
        <w:rPr>
          <w:szCs w:val="19"/>
        </w:rPr>
        <w:t>o </w:t>
      </w:r>
      <w:r w:rsidR="00B16A29">
        <w:rPr>
          <w:szCs w:val="19"/>
        </w:rPr>
        <w:t>6</w:t>
      </w:r>
      <w:r w:rsidR="00C02953">
        <w:rPr>
          <w:szCs w:val="19"/>
        </w:rPr>
        <w:t>,</w:t>
      </w:r>
      <w:r w:rsidR="00B16A29">
        <w:rPr>
          <w:szCs w:val="19"/>
        </w:rPr>
        <w:t>5</w:t>
      </w:r>
      <w:r w:rsidR="00353C8A">
        <w:rPr>
          <w:szCs w:val="19"/>
        </w:rPr>
        <w:t>%</w:t>
      </w:r>
      <w:r w:rsidR="00871BCF" w:rsidRPr="002D6BA5">
        <w:rPr>
          <w:szCs w:val="19"/>
        </w:rPr>
        <w:t>.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>to</w:t>
      </w:r>
      <w:r w:rsidR="00C02953">
        <w:rPr>
          <w:szCs w:val="19"/>
        </w:rPr>
        <w:t xml:space="preserve"> </w:t>
      </w:r>
      <w:r w:rsidR="000C5F23">
        <w:rPr>
          <w:szCs w:val="19"/>
        </w:rPr>
        <w:t xml:space="preserve">m.in. </w:t>
      </w:r>
      <w:r w:rsidR="00B16A29">
        <w:rPr>
          <w:szCs w:val="19"/>
        </w:rPr>
        <w:t xml:space="preserve">wypłatami </w:t>
      </w:r>
      <w:r w:rsidR="00E61EB1">
        <w:rPr>
          <w:szCs w:val="19"/>
        </w:rPr>
        <w:t>premii</w:t>
      </w:r>
      <w:r w:rsidR="00B16A29">
        <w:rPr>
          <w:szCs w:val="19"/>
        </w:rPr>
        <w:t xml:space="preserve"> kwartalnych, świątecznych, uznaniowych, motywacyjnych</w:t>
      </w:r>
      <w:r w:rsidR="00E61EB1">
        <w:rPr>
          <w:szCs w:val="19"/>
        </w:rPr>
        <w:t>, nagród</w:t>
      </w:r>
      <w:r w:rsidR="00B16A29">
        <w:rPr>
          <w:szCs w:val="19"/>
        </w:rPr>
        <w:t xml:space="preserve"> </w:t>
      </w:r>
      <w:r w:rsidR="000E074C">
        <w:rPr>
          <w:szCs w:val="19"/>
        </w:rPr>
        <w:t xml:space="preserve">rocznych, </w:t>
      </w:r>
      <w:r w:rsidR="00E61EB1">
        <w:rPr>
          <w:szCs w:val="19"/>
        </w:rPr>
        <w:t>wynagrodzeń za nadgodziny</w:t>
      </w:r>
      <w:r w:rsidR="008E4238">
        <w:rPr>
          <w:szCs w:val="19"/>
        </w:rPr>
        <w:t xml:space="preserve">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4"/>
      </w:r>
      <w:r w:rsidR="00162CA1">
        <w:rPr>
          <w:szCs w:val="19"/>
        </w:rPr>
        <w:t>)</w:t>
      </w:r>
      <w:r w:rsidR="000E074C">
        <w:rPr>
          <w:szCs w:val="19"/>
        </w:rPr>
        <w:t>, a także większą liczbą dni roboczych w marcu br. w porównaniu z poprzednim miesiącem.</w:t>
      </w:r>
      <w:r w:rsidR="002F045A">
        <w:rPr>
          <w:szCs w:val="19"/>
        </w:rPr>
        <w:t xml:space="preserve"> 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0E074C">
        <w:rPr>
          <w:szCs w:val="19"/>
        </w:rPr>
        <w:t>marzec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0E074C">
        <w:rPr>
          <w:szCs w:val="19"/>
        </w:rPr>
        <w:t>marca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0E074C">
        <w:rPr>
          <w:szCs w:val="19"/>
        </w:rPr>
        <w:t>8</w:t>
      </w:r>
      <w:r w:rsidR="00C02953">
        <w:rPr>
          <w:szCs w:val="19"/>
        </w:rPr>
        <w:t>,</w:t>
      </w:r>
      <w:r w:rsidR="000E074C">
        <w:rPr>
          <w:szCs w:val="19"/>
        </w:rPr>
        <w:t>0</w:t>
      </w:r>
      <w:r w:rsidR="007D4A94" w:rsidRPr="00D033A8">
        <w:rPr>
          <w:szCs w:val="19"/>
        </w:rPr>
        <w:t xml:space="preserve">%, </w:t>
      </w:r>
      <w:r w:rsidR="00262465" w:rsidRPr="00D033A8">
        <w:rPr>
          <w:szCs w:val="19"/>
        </w:rPr>
        <w:t>a</w:t>
      </w:r>
      <w:r w:rsidR="007D4A94" w:rsidRPr="00D033A8">
        <w:rPr>
          <w:szCs w:val="19"/>
        </w:rPr>
        <w:t xml:space="preserve"> tempo wzrostu było </w:t>
      </w:r>
      <w:r w:rsidR="00EE027B">
        <w:rPr>
          <w:szCs w:val="19"/>
        </w:rPr>
        <w:t>szybsze</w:t>
      </w:r>
      <w:r w:rsidR="00876E44">
        <w:rPr>
          <w:szCs w:val="19"/>
        </w:rPr>
        <w:t xml:space="preserve"> </w:t>
      </w:r>
      <w:r w:rsidR="00C31A8A" w:rsidRPr="00D033A8">
        <w:rPr>
          <w:szCs w:val="19"/>
        </w:rPr>
        <w:t xml:space="preserve">niż obserwowane </w:t>
      </w:r>
      <w:r w:rsidR="00480D29">
        <w:rPr>
          <w:szCs w:val="19"/>
        </w:rPr>
        <w:t>w poprzednich miesiącach</w:t>
      </w:r>
      <w:r w:rsidR="009E214A">
        <w:rPr>
          <w:szCs w:val="19"/>
        </w:rPr>
        <w:t>.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DE3498">
        <w:rPr>
          <w:bCs/>
          <w:szCs w:val="19"/>
        </w:rPr>
        <w:t xml:space="preserve">trzech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>ętne miesięczne wynagrodzenie w </w:t>
      </w:r>
      <w:r w:rsidRPr="009118C4">
        <w:rPr>
          <w:bCs/>
          <w:szCs w:val="19"/>
        </w:rPr>
        <w:t>porów</w:t>
      </w:r>
      <w:r>
        <w:rPr>
          <w:bCs/>
          <w:szCs w:val="19"/>
        </w:rPr>
        <w:softHyphen/>
      </w:r>
      <w:r w:rsidRPr="009118C4">
        <w:rPr>
          <w:bCs/>
          <w:szCs w:val="19"/>
        </w:rPr>
        <w:t>naniu z analogicznym ok</w:t>
      </w:r>
      <w:r>
        <w:rPr>
          <w:bCs/>
          <w:szCs w:val="19"/>
        </w:rPr>
        <w:t xml:space="preserve">resem ubiegłego roku wzrosło we wszystkich sekcjach PKD 2007 </w:t>
      </w:r>
      <w:r w:rsidR="00C7754E" w:rsidRPr="00877482">
        <w:rPr>
          <w:szCs w:val="19"/>
        </w:rPr>
        <w:t>od </w:t>
      </w:r>
      <w:r w:rsidR="00044667">
        <w:rPr>
          <w:szCs w:val="19"/>
        </w:rPr>
        <w:t>0</w:t>
      </w:r>
      <w:r w:rsidR="008A4FA1" w:rsidRPr="00877482">
        <w:rPr>
          <w:szCs w:val="19"/>
        </w:rPr>
        <w:t>,</w:t>
      </w:r>
      <w:r w:rsidR="00044667">
        <w:rPr>
          <w:szCs w:val="19"/>
        </w:rPr>
        <w:t>1</w:t>
      </w:r>
      <w:r w:rsidR="008A4FA1" w:rsidRPr="00877482">
        <w:rPr>
          <w:szCs w:val="19"/>
        </w:rPr>
        <w:t xml:space="preserve">%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 związana z kulturą, rozrywką i 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B773AF">
        <w:rPr>
          <w:szCs w:val="19"/>
        </w:rPr>
        <w:t>6</w:t>
      </w:r>
      <w:r w:rsidR="00877482" w:rsidRPr="00877482">
        <w:rPr>
          <w:szCs w:val="19"/>
        </w:rPr>
        <w:t>,</w:t>
      </w:r>
      <w:r w:rsidR="00044667">
        <w:rPr>
          <w:szCs w:val="19"/>
        </w:rPr>
        <w:t>9</w:t>
      </w:r>
      <w:r w:rsidR="00F577BD" w:rsidRPr="00877482">
        <w:rPr>
          <w:szCs w:val="19"/>
        </w:rPr>
        <w:t>% w sekcji „</w:t>
      </w:r>
      <w:r w:rsidR="00044667">
        <w:rPr>
          <w:szCs w:val="19"/>
        </w:rPr>
        <w:t>Administrowanie i działalność wspierająca</w:t>
      </w:r>
      <w:r w:rsidR="00877482" w:rsidRPr="00877482">
        <w:rPr>
          <w:szCs w:val="19"/>
        </w:rPr>
        <w:t>”</w:t>
      </w:r>
      <w:r w:rsidR="00044667">
        <w:rPr>
          <w:szCs w:val="19"/>
        </w:rPr>
        <w:t xml:space="preserve"> oraz „Pozostała działalność usługowa”</w:t>
      </w:r>
      <w:r w:rsidR="00572A21">
        <w:rPr>
          <w:szCs w:val="19"/>
        </w:rPr>
        <w:t>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572A21">
        <w:rPr>
          <w:szCs w:val="19"/>
        </w:rPr>
        <w:t xml:space="preserve"> 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>iorstw o 5,7%</w:t>
      </w:r>
      <w:r w:rsidR="00572A21" w:rsidRPr="009118C4">
        <w:rPr>
          <w:szCs w:val="19"/>
        </w:rPr>
        <w:t>.</w:t>
      </w:r>
      <w:r w:rsidR="00FF7045">
        <w:rPr>
          <w:b/>
          <w:szCs w:val="19"/>
        </w:rPr>
        <w:t xml:space="preserve"> 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955D4C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311150</wp:posOffset>
            </wp:positionV>
            <wp:extent cx="5124450" cy="2971800"/>
            <wp:effectExtent l="19050" t="0" r="0" b="0"/>
            <wp:wrapSquare wrapText="bothSides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(head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offices);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@GlownyUrzadStatystyczny</w:t>
            </w:r>
          </w:p>
        </w:tc>
      </w:tr>
    </w:tbl>
    <w:p w:rsidR="00D261A2" w:rsidRPr="00001C5B" w:rsidRDefault="00AD795D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G7AMXzfAAAACQEA&#10;AA8AAAAAAAAAAAAAAAAAmAQAAGRycy9kb3ducmV2LnhtbFBLBQYAAAAABAAEAPMAAACkBQAAAAA=&#10;" fillcolor="#f2f2f2" strokecolor="white">
            <v:textbox style="mso-next-textbox:#_x0000_s1028"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AD795D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2F045A" w:rsidRDefault="00AD795D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265971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</w:t>
                    </w:r>
                    <w:r w:rsidR="002F045A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-III kwartale</w:t>
                    </w:r>
                    <w:r w:rsidR="00265971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2020</w:t>
                    </w:r>
                    <w:r w:rsidR="00D9355F" w:rsidRPr="002F04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roku</w:t>
                    </w:r>
                  </w:hyperlink>
                </w:p>
                <w:p w:rsidR="00E363A1" w:rsidRPr="00E9755A" w:rsidRDefault="00AD795D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AD795D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AD795D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AD795D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AD795D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AD795D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AD795D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5D" w:rsidRDefault="00AD795D" w:rsidP="000662E2">
      <w:pPr>
        <w:spacing w:after="0" w:line="240" w:lineRule="auto"/>
      </w:pPr>
      <w:r>
        <w:separator/>
      </w:r>
    </w:p>
  </w:endnote>
  <w:endnote w:type="continuationSeparator" w:id="0">
    <w:p w:rsidR="00AD795D" w:rsidRDefault="00AD795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3A2EE9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9926B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3A2EE9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9926B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3A2EE9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9926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5D" w:rsidRDefault="00AD795D" w:rsidP="000662E2">
      <w:pPr>
        <w:spacing w:after="0" w:line="240" w:lineRule="auto"/>
      </w:pPr>
      <w:r>
        <w:separator/>
      </w:r>
    </w:p>
  </w:footnote>
  <w:footnote w:type="continuationSeparator" w:id="0">
    <w:p w:rsidR="00AD795D" w:rsidRDefault="00AD795D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9926B9">
          <w:rPr>
            <w:rStyle w:val="Hipercze"/>
            <w:rFonts w:ascii="Fira Sans" w:hAnsi="Fira Sans"/>
            <w:color w:val="002060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9926B9">
        <w:rPr>
          <w:rFonts w:ascii="Fira Sans" w:hAnsi="Fira Sans"/>
          <w:color w:val="002060"/>
          <w:sz w:val="16"/>
          <w:szCs w:val="16"/>
        </w:rPr>
        <w:t>.</w:t>
      </w:r>
      <w:r w:rsidR="000752C7">
        <w:t xml:space="preserve"> </w:t>
      </w:r>
    </w:p>
  </w:footnote>
  <w:footnote w:id="4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9926B9">
          <w:rPr>
            <w:rStyle w:val="Hipercze"/>
            <w:rFonts w:ascii="Fira Sans" w:hAnsi="Fira Sans"/>
            <w:color w:val="002060"/>
            <w:sz w:val="16"/>
            <w:szCs w:val="16"/>
          </w:rPr>
          <w:t>http://form.stat.gov.pl/formularze/2020/objasnienia/zalacznik_do_objasnien.pdf</w:t>
        </w:r>
      </w:hyperlink>
      <w:r w:rsidRPr="009926B9">
        <w:rPr>
          <w:rFonts w:ascii="Fira Sans" w:hAnsi="Fira Sans"/>
          <w:color w:val="002060"/>
          <w:sz w:val="16"/>
          <w:szCs w:val="16"/>
        </w:rPr>
        <w:t>.</w:t>
      </w:r>
      <w:r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bookmarkStart w:id="0" w:name="_GoBack"/>
      <w:r w:rsidR="00AD795D" w:rsidRPr="009926B9">
        <w:rPr>
          <w:rStyle w:val="Hipercze"/>
          <w:rFonts w:ascii="Fira Sans" w:hAnsi="Fira Sans"/>
          <w:color w:val="002060"/>
          <w:sz w:val="16"/>
          <w:szCs w:val="16"/>
        </w:rPr>
        <w:fldChar w:fldCharType="begin"/>
      </w:r>
      <w:r w:rsidR="00AD795D" w:rsidRPr="009926B9">
        <w:rPr>
          <w:rStyle w:val="Hipercze"/>
          <w:rFonts w:ascii="Fira Sans" w:hAnsi="Fira Sans"/>
          <w:color w:val="002060"/>
          <w:sz w:val="16"/>
          <w:szCs w:val="16"/>
        </w:rPr>
        <w:instrText xml:space="preserve"> HYPERLINK "http://form.stat.gov.pl/formularze/2020/passive/DG-1.pdf" </w:instrText>
      </w:r>
      <w:r w:rsidR="00AD795D" w:rsidRPr="009926B9">
        <w:rPr>
          <w:rStyle w:val="Hipercze"/>
          <w:rFonts w:ascii="Fira Sans" w:hAnsi="Fira Sans"/>
          <w:color w:val="002060"/>
          <w:sz w:val="16"/>
          <w:szCs w:val="16"/>
        </w:rPr>
        <w:fldChar w:fldCharType="separate"/>
      </w:r>
      <w:r w:rsidRPr="009926B9">
        <w:rPr>
          <w:rStyle w:val="Hipercze"/>
          <w:rFonts w:ascii="Fira Sans" w:hAnsi="Fira Sans"/>
          <w:color w:val="002060"/>
          <w:sz w:val="16"/>
          <w:szCs w:val="16"/>
        </w:rPr>
        <w:t>http://form.stat.gov.pl/formularze/2020/passive/DG-1.pdf</w:t>
      </w:r>
      <w:r w:rsidR="00AD795D" w:rsidRPr="009926B9">
        <w:rPr>
          <w:rStyle w:val="Hipercze"/>
          <w:rFonts w:ascii="Fira Sans" w:hAnsi="Fira Sans"/>
          <w:color w:val="002060"/>
          <w:sz w:val="16"/>
          <w:szCs w:val="16"/>
        </w:rPr>
        <w:fldChar w:fldCharType="end"/>
      </w:r>
      <w:r w:rsidRPr="009926B9">
        <w:rPr>
          <w:rFonts w:ascii="Fira Sans" w:hAnsi="Fira Sans"/>
          <w:color w:val="002060"/>
          <w:sz w:val="16"/>
          <w:szCs w:val="16"/>
        </w:rPr>
        <w:t>.</w:t>
      </w:r>
      <w:r>
        <w:t xml:space="preserve"> </w:t>
      </w:r>
      <w:r w:rsidRPr="00970F58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AD795D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D795D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wrapcoords="-110 0 -110 21591 21600 21591 21600 0 -110 0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AD795D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586CCF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21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0</w:t>
                </w:r>
                <w:r>
                  <w:rPr>
                    <w:rFonts w:ascii="Fira Sans SemiBold" w:hAnsi="Fira Sans SemiBold"/>
                    <w:color w:val="001D77"/>
                  </w:rPr>
                  <w:t>4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.6pt;height:124.8pt;visibility:visible" o:bullet="t">
        <v:imagedata r:id="rId1" o:title=""/>
      </v:shape>
    </w:pict>
  </w:numPicBullet>
  <w:numPicBullet w:numPicBulletId="1">
    <w:pict>
      <v:shape id="_x0000_i1037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AA0"/>
    <w:rsid w:val="00001C5B"/>
    <w:rsid w:val="00003437"/>
    <w:rsid w:val="00004589"/>
    <w:rsid w:val="00004942"/>
    <w:rsid w:val="0000709F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7814"/>
    <w:rsid w:val="000329AA"/>
    <w:rsid w:val="0004270A"/>
    <w:rsid w:val="00044667"/>
    <w:rsid w:val="0004582E"/>
    <w:rsid w:val="000470AA"/>
    <w:rsid w:val="00052377"/>
    <w:rsid w:val="000523FE"/>
    <w:rsid w:val="0005505D"/>
    <w:rsid w:val="00055513"/>
    <w:rsid w:val="00057CA1"/>
    <w:rsid w:val="000622B5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4C80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6338"/>
    <w:rsid w:val="000F3401"/>
    <w:rsid w:val="000F3A97"/>
    <w:rsid w:val="000F4B54"/>
    <w:rsid w:val="000F5DCD"/>
    <w:rsid w:val="000F6227"/>
    <w:rsid w:val="001008B1"/>
    <w:rsid w:val="001011C3"/>
    <w:rsid w:val="00101CB2"/>
    <w:rsid w:val="0010757E"/>
    <w:rsid w:val="0011012D"/>
    <w:rsid w:val="00110D87"/>
    <w:rsid w:val="00110ED3"/>
    <w:rsid w:val="001132A5"/>
    <w:rsid w:val="00113F2C"/>
    <w:rsid w:val="00114DB9"/>
    <w:rsid w:val="00115503"/>
    <w:rsid w:val="00116087"/>
    <w:rsid w:val="00116F13"/>
    <w:rsid w:val="00121BE0"/>
    <w:rsid w:val="001255E7"/>
    <w:rsid w:val="00130296"/>
    <w:rsid w:val="00130784"/>
    <w:rsid w:val="00132408"/>
    <w:rsid w:val="00132CAC"/>
    <w:rsid w:val="00134257"/>
    <w:rsid w:val="00137769"/>
    <w:rsid w:val="001423B6"/>
    <w:rsid w:val="00142EC6"/>
    <w:rsid w:val="001448A7"/>
    <w:rsid w:val="0014611A"/>
    <w:rsid w:val="00146621"/>
    <w:rsid w:val="0015065A"/>
    <w:rsid w:val="00153EF0"/>
    <w:rsid w:val="001572EE"/>
    <w:rsid w:val="00160615"/>
    <w:rsid w:val="00162325"/>
    <w:rsid w:val="00162CA1"/>
    <w:rsid w:val="001656F9"/>
    <w:rsid w:val="00174327"/>
    <w:rsid w:val="001744B9"/>
    <w:rsid w:val="0017656E"/>
    <w:rsid w:val="001807C1"/>
    <w:rsid w:val="001921AA"/>
    <w:rsid w:val="001951DA"/>
    <w:rsid w:val="001A0213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3C9B"/>
    <w:rsid w:val="001D643A"/>
    <w:rsid w:val="001E23D5"/>
    <w:rsid w:val="001E6996"/>
    <w:rsid w:val="001E6F2B"/>
    <w:rsid w:val="001E763A"/>
    <w:rsid w:val="001E7A14"/>
    <w:rsid w:val="001F3E98"/>
    <w:rsid w:val="001F6CA3"/>
    <w:rsid w:val="00200048"/>
    <w:rsid w:val="002040D3"/>
    <w:rsid w:val="00204533"/>
    <w:rsid w:val="00207FA0"/>
    <w:rsid w:val="00211508"/>
    <w:rsid w:val="002216FC"/>
    <w:rsid w:val="002232CD"/>
    <w:rsid w:val="00223998"/>
    <w:rsid w:val="002323D2"/>
    <w:rsid w:val="00233CC3"/>
    <w:rsid w:val="00235CE1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699"/>
    <w:rsid w:val="00284DC4"/>
    <w:rsid w:val="00286500"/>
    <w:rsid w:val="002926DF"/>
    <w:rsid w:val="00296697"/>
    <w:rsid w:val="00296F9E"/>
    <w:rsid w:val="002A3AD1"/>
    <w:rsid w:val="002A4D52"/>
    <w:rsid w:val="002A4E11"/>
    <w:rsid w:val="002A6103"/>
    <w:rsid w:val="002B0472"/>
    <w:rsid w:val="002B4FF4"/>
    <w:rsid w:val="002B6B12"/>
    <w:rsid w:val="002B7D73"/>
    <w:rsid w:val="002C0ABB"/>
    <w:rsid w:val="002C0E32"/>
    <w:rsid w:val="002C1A9A"/>
    <w:rsid w:val="002C1F2B"/>
    <w:rsid w:val="002C3A9B"/>
    <w:rsid w:val="002C496C"/>
    <w:rsid w:val="002C60C6"/>
    <w:rsid w:val="002D0681"/>
    <w:rsid w:val="002D09BE"/>
    <w:rsid w:val="002D1366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EDD"/>
    <w:rsid w:val="0032326A"/>
    <w:rsid w:val="003236A7"/>
    <w:rsid w:val="0032707A"/>
    <w:rsid w:val="00330312"/>
    <w:rsid w:val="0033040B"/>
    <w:rsid w:val="00332320"/>
    <w:rsid w:val="00334153"/>
    <w:rsid w:val="00335565"/>
    <w:rsid w:val="00336459"/>
    <w:rsid w:val="0034027C"/>
    <w:rsid w:val="00347D72"/>
    <w:rsid w:val="003524F0"/>
    <w:rsid w:val="00353C8A"/>
    <w:rsid w:val="00357611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C8D"/>
    <w:rsid w:val="003D43C3"/>
    <w:rsid w:val="003D4F7C"/>
    <w:rsid w:val="003D4F95"/>
    <w:rsid w:val="003D5583"/>
    <w:rsid w:val="003D5F42"/>
    <w:rsid w:val="003D60A9"/>
    <w:rsid w:val="003D6236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E7"/>
    <w:rsid w:val="004232F3"/>
    <w:rsid w:val="0042371B"/>
    <w:rsid w:val="0042446D"/>
    <w:rsid w:val="004254E3"/>
    <w:rsid w:val="00427BF8"/>
    <w:rsid w:val="00431C02"/>
    <w:rsid w:val="00436DF8"/>
    <w:rsid w:val="00437395"/>
    <w:rsid w:val="00445047"/>
    <w:rsid w:val="00447BFB"/>
    <w:rsid w:val="00451619"/>
    <w:rsid w:val="00451748"/>
    <w:rsid w:val="00452D71"/>
    <w:rsid w:val="00456ABC"/>
    <w:rsid w:val="0046203E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D13"/>
    <w:rsid w:val="004C1895"/>
    <w:rsid w:val="004C2A75"/>
    <w:rsid w:val="004C4156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0D"/>
    <w:rsid w:val="004F7579"/>
    <w:rsid w:val="00503640"/>
    <w:rsid w:val="00505A92"/>
    <w:rsid w:val="00510423"/>
    <w:rsid w:val="005124A2"/>
    <w:rsid w:val="00512A4D"/>
    <w:rsid w:val="00512DD9"/>
    <w:rsid w:val="00512F78"/>
    <w:rsid w:val="00515E9A"/>
    <w:rsid w:val="00516808"/>
    <w:rsid w:val="005168BC"/>
    <w:rsid w:val="005203F1"/>
    <w:rsid w:val="0052109B"/>
    <w:rsid w:val="005219C3"/>
    <w:rsid w:val="00521BC3"/>
    <w:rsid w:val="00526041"/>
    <w:rsid w:val="00527628"/>
    <w:rsid w:val="00527841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809C7"/>
    <w:rsid w:val="0058193C"/>
    <w:rsid w:val="00584EC3"/>
    <w:rsid w:val="00586CCF"/>
    <w:rsid w:val="0059054F"/>
    <w:rsid w:val="005916D7"/>
    <w:rsid w:val="005A19DF"/>
    <w:rsid w:val="005A4EFC"/>
    <w:rsid w:val="005A698C"/>
    <w:rsid w:val="005B2332"/>
    <w:rsid w:val="005B716C"/>
    <w:rsid w:val="005C12A5"/>
    <w:rsid w:val="005C2997"/>
    <w:rsid w:val="005C51AF"/>
    <w:rsid w:val="005C61EE"/>
    <w:rsid w:val="005C78AB"/>
    <w:rsid w:val="005D3181"/>
    <w:rsid w:val="005E0799"/>
    <w:rsid w:val="005E22E9"/>
    <w:rsid w:val="005F09AA"/>
    <w:rsid w:val="005F452C"/>
    <w:rsid w:val="005F5A80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260E"/>
    <w:rsid w:val="00633014"/>
    <w:rsid w:val="0063437B"/>
    <w:rsid w:val="006421E5"/>
    <w:rsid w:val="006450A3"/>
    <w:rsid w:val="00650A54"/>
    <w:rsid w:val="006551FA"/>
    <w:rsid w:val="00661410"/>
    <w:rsid w:val="00661C90"/>
    <w:rsid w:val="00661CD6"/>
    <w:rsid w:val="00662B67"/>
    <w:rsid w:val="006673CA"/>
    <w:rsid w:val="00673C26"/>
    <w:rsid w:val="006767CA"/>
    <w:rsid w:val="0068008C"/>
    <w:rsid w:val="006812AF"/>
    <w:rsid w:val="00682078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44E3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6A08"/>
    <w:rsid w:val="00767212"/>
    <w:rsid w:val="00767D12"/>
    <w:rsid w:val="007729DF"/>
    <w:rsid w:val="0077748F"/>
    <w:rsid w:val="007801F5"/>
    <w:rsid w:val="00783CA4"/>
    <w:rsid w:val="007842FB"/>
    <w:rsid w:val="00786124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2434"/>
    <w:rsid w:val="007C5F05"/>
    <w:rsid w:val="007C7355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725A"/>
    <w:rsid w:val="007E7658"/>
    <w:rsid w:val="007F04C3"/>
    <w:rsid w:val="007F11FE"/>
    <w:rsid w:val="007F324B"/>
    <w:rsid w:val="007F7828"/>
    <w:rsid w:val="0080553C"/>
    <w:rsid w:val="00805B46"/>
    <w:rsid w:val="00807D32"/>
    <w:rsid w:val="00816500"/>
    <w:rsid w:val="00820B99"/>
    <w:rsid w:val="00824F28"/>
    <w:rsid w:val="00825DC2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6E82"/>
    <w:rsid w:val="008D0A5D"/>
    <w:rsid w:val="008D7494"/>
    <w:rsid w:val="008D7B51"/>
    <w:rsid w:val="008E01B7"/>
    <w:rsid w:val="008E4218"/>
    <w:rsid w:val="008E4238"/>
    <w:rsid w:val="008E6D61"/>
    <w:rsid w:val="008F0263"/>
    <w:rsid w:val="008F1AE6"/>
    <w:rsid w:val="008F3638"/>
    <w:rsid w:val="008F4441"/>
    <w:rsid w:val="008F5F91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B2D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200B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91B50"/>
    <w:rsid w:val="00991BAC"/>
    <w:rsid w:val="009926B9"/>
    <w:rsid w:val="009933BE"/>
    <w:rsid w:val="00994802"/>
    <w:rsid w:val="0099558E"/>
    <w:rsid w:val="0099700F"/>
    <w:rsid w:val="009A4971"/>
    <w:rsid w:val="009A5EB5"/>
    <w:rsid w:val="009A6EA0"/>
    <w:rsid w:val="009B1EBB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5BA6"/>
    <w:rsid w:val="00A47D80"/>
    <w:rsid w:val="00A53132"/>
    <w:rsid w:val="00A53D6D"/>
    <w:rsid w:val="00A563F2"/>
    <w:rsid w:val="00A566E8"/>
    <w:rsid w:val="00A56B7D"/>
    <w:rsid w:val="00A60A9D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10D"/>
    <w:rsid w:val="00AB05A5"/>
    <w:rsid w:val="00AB097F"/>
    <w:rsid w:val="00AB5573"/>
    <w:rsid w:val="00AB61F8"/>
    <w:rsid w:val="00AB6D25"/>
    <w:rsid w:val="00AC233F"/>
    <w:rsid w:val="00AD129B"/>
    <w:rsid w:val="00AD43A5"/>
    <w:rsid w:val="00AD70B9"/>
    <w:rsid w:val="00AD795D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1619A"/>
    <w:rsid w:val="00B16A29"/>
    <w:rsid w:val="00B214F0"/>
    <w:rsid w:val="00B2237A"/>
    <w:rsid w:val="00B2465B"/>
    <w:rsid w:val="00B31E5A"/>
    <w:rsid w:val="00B32451"/>
    <w:rsid w:val="00B32661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E25"/>
    <w:rsid w:val="00B773AF"/>
    <w:rsid w:val="00B81F02"/>
    <w:rsid w:val="00B8241E"/>
    <w:rsid w:val="00B8259A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C018FF"/>
    <w:rsid w:val="00C02953"/>
    <w:rsid w:val="00C030DE"/>
    <w:rsid w:val="00C05C5A"/>
    <w:rsid w:val="00C13D87"/>
    <w:rsid w:val="00C162C9"/>
    <w:rsid w:val="00C22105"/>
    <w:rsid w:val="00C244B6"/>
    <w:rsid w:val="00C31A8A"/>
    <w:rsid w:val="00C34F1A"/>
    <w:rsid w:val="00C3702F"/>
    <w:rsid w:val="00C420FF"/>
    <w:rsid w:val="00C422D5"/>
    <w:rsid w:val="00C44E78"/>
    <w:rsid w:val="00C4500A"/>
    <w:rsid w:val="00C4710C"/>
    <w:rsid w:val="00C51B91"/>
    <w:rsid w:val="00C56259"/>
    <w:rsid w:val="00C61B2C"/>
    <w:rsid w:val="00C64A37"/>
    <w:rsid w:val="00C7158E"/>
    <w:rsid w:val="00C7222E"/>
    <w:rsid w:val="00C7250B"/>
    <w:rsid w:val="00C7346B"/>
    <w:rsid w:val="00C73DAE"/>
    <w:rsid w:val="00C7754E"/>
    <w:rsid w:val="00C77C0E"/>
    <w:rsid w:val="00C80490"/>
    <w:rsid w:val="00C824A2"/>
    <w:rsid w:val="00C85FDD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C0006"/>
    <w:rsid w:val="00CC0146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6F6A"/>
    <w:rsid w:val="00D7719E"/>
    <w:rsid w:val="00D82C73"/>
    <w:rsid w:val="00D836CF"/>
    <w:rsid w:val="00D8397C"/>
    <w:rsid w:val="00D8413D"/>
    <w:rsid w:val="00D90F3A"/>
    <w:rsid w:val="00D91360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C1E38"/>
    <w:rsid w:val="00DC40C3"/>
    <w:rsid w:val="00DC4B88"/>
    <w:rsid w:val="00DC6708"/>
    <w:rsid w:val="00DC7260"/>
    <w:rsid w:val="00DD2799"/>
    <w:rsid w:val="00DD3AB8"/>
    <w:rsid w:val="00DD6037"/>
    <w:rsid w:val="00DD6DBA"/>
    <w:rsid w:val="00DE053C"/>
    <w:rsid w:val="00DE11C1"/>
    <w:rsid w:val="00DE3498"/>
    <w:rsid w:val="00DE3911"/>
    <w:rsid w:val="00DE53CB"/>
    <w:rsid w:val="00DE7C73"/>
    <w:rsid w:val="00DF3B27"/>
    <w:rsid w:val="00DF5718"/>
    <w:rsid w:val="00DF5C93"/>
    <w:rsid w:val="00E00A69"/>
    <w:rsid w:val="00E01436"/>
    <w:rsid w:val="00E02474"/>
    <w:rsid w:val="00E045BD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313"/>
    <w:rsid w:val="00E664C5"/>
    <w:rsid w:val="00E66C18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5ABE"/>
    <w:rsid w:val="00E9755A"/>
    <w:rsid w:val="00EA093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C0E1A"/>
    <w:rsid w:val="00EC515F"/>
    <w:rsid w:val="00ED0731"/>
    <w:rsid w:val="00ED0BDF"/>
    <w:rsid w:val="00ED13CE"/>
    <w:rsid w:val="00ED55C0"/>
    <w:rsid w:val="00ED6586"/>
    <w:rsid w:val="00ED682B"/>
    <w:rsid w:val="00EE027B"/>
    <w:rsid w:val="00EE41D5"/>
    <w:rsid w:val="00EF2103"/>
    <w:rsid w:val="00EF2D8B"/>
    <w:rsid w:val="00F037A4"/>
    <w:rsid w:val="00F06176"/>
    <w:rsid w:val="00F10E09"/>
    <w:rsid w:val="00F13779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77BD"/>
    <w:rsid w:val="00F62BBE"/>
    <w:rsid w:val="00F66833"/>
    <w:rsid w:val="00F676A6"/>
    <w:rsid w:val="00F67D8F"/>
    <w:rsid w:val="00F67FCB"/>
    <w:rsid w:val="00F71B57"/>
    <w:rsid w:val="00F74F24"/>
    <w:rsid w:val="00F802BE"/>
    <w:rsid w:val="00F80E93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20F4"/>
    <w:rsid w:val="00FB42D4"/>
    <w:rsid w:val="00FB4E5F"/>
    <w:rsid w:val="00FB56B0"/>
    <w:rsid w:val="00FB5906"/>
    <w:rsid w:val="00FB62BD"/>
    <w:rsid w:val="00FB762F"/>
    <w:rsid w:val="00FC1B67"/>
    <w:rsid w:val="00FC2AED"/>
    <w:rsid w:val="00FC519A"/>
    <w:rsid w:val="00FC5250"/>
    <w:rsid w:val="00FD5EA7"/>
    <w:rsid w:val="00FD7794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6C86EEA-F335-4D1E-A2E1-E6E3782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i-iii-kwartale-2020-roku,1,40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87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osia'!$B$56:$C$82</c:f>
              <c:multiLvlStrCache>
                <c:ptCount val="27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osia'!$D$14:$D$40</c:f>
              <c:numCache>
                <c:formatCode>0.0</c:formatCode>
                <c:ptCount val="27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524054352"/>
        <c:axId val="-524049456"/>
      </c:barChart>
      <c:lineChart>
        <c:grouping val="standard"/>
        <c:varyColors val="0"/>
        <c:ser>
          <c:idx val="1"/>
          <c:order val="1"/>
          <c:tx>
            <c:strRef>
              <c:f>'gl wykres z dod osia'!$D$43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osia'!$C$56:$C$82</c:f>
              <c:strCache>
                <c:ptCount val="27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'gl wykres z dod osia'!$D$56:$D$82</c:f>
              <c:numCache>
                <c:formatCode>0.0</c:formatCode>
                <c:ptCount val="27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24059248"/>
        <c:axId val="-524048368"/>
      </c:lineChart>
      <c:catAx>
        <c:axId val="-52405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524049456"/>
        <c:crosses val="autoZero"/>
        <c:auto val="1"/>
        <c:lblAlgn val="ctr"/>
        <c:lblOffset val="100"/>
        <c:noMultiLvlLbl val="0"/>
      </c:catAx>
      <c:valAx>
        <c:axId val="-5240494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147E-3"/>
              <c:y val="6.6049382716047787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524054352"/>
        <c:crosses val="autoZero"/>
        <c:crossBetween val="between"/>
      </c:valAx>
      <c:valAx>
        <c:axId val="-524048368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-524059248"/>
        <c:crosses val="max"/>
        <c:crossBetween val="between"/>
        <c:majorUnit val="10"/>
      </c:valAx>
      <c:catAx>
        <c:axId val="-524059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524048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593142666389811E-2"/>
          <c:y val="0.87979753086420065"/>
          <c:w val="0.84129295106241131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926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osia'!$B$56:$C$82</c:f>
              <c:multiLvlStrCache>
                <c:ptCount val="27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glowny'!$D$15:$D$41</c:f>
              <c:numCache>
                <c:formatCode>0.00</c:formatCode>
                <c:ptCount val="27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5213.2699999999995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24057072"/>
        <c:axId val="-524056528"/>
      </c:lineChart>
      <c:catAx>
        <c:axId val="-52405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524056528"/>
        <c:crosses val="autoZero"/>
        <c:auto val="1"/>
        <c:lblAlgn val="ctr"/>
        <c:lblOffset val="100"/>
        <c:noMultiLvlLbl val="0"/>
      </c:catAx>
      <c:valAx>
        <c:axId val="-5240565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16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52405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Przecietne_zatrudnienie_i_wyn_sektorprzeds_II2021.docx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545B-E40D-4FD4-B072-48905890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CA824E-0534-470E-83CB-330DD15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2021-01-20T14:08:00Z</cp:lastPrinted>
  <dcterms:created xsi:type="dcterms:W3CDTF">2021-02-15T20:36:00Z</dcterms:created>
  <dcterms:modified xsi:type="dcterms:W3CDTF">2021-04-21T05:35:00Z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