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drawings/drawing5.xml" ContentType="application/vnd.openxmlformats-officedocument.drawingml.chartshapes+xml"/>
  <Override PartName="/word/charts/chart10.xml" ContentType="application/vnd.openxmlformats-officedocument.drawingml.chart+xml"/>
  <Override PartName="/word/drawings/drawing6.xml" ContentType="application/vnd.openxmlformats-officedocument.drawingml.chartshapes+xml"/>
  <Override PartName="/word/charts/chart11.xml" ContentType="application/vnd.openxmlformats-officedocument.drawingml.chart+xml"/>
  <Override PartName="/word/drawings/drawing7.xml" ContentType="application/vnd.openxmlformats-officedocument.drawingml.chartshapes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38669A" w:rsidRDefault="0038669A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38669A">
        <w:rPr>
          <w:shd w:val="clear" w:color="auto" w:fill="FFFFFF"/>
        </w:rPr>
        <w:t>Koniunktura w gospodarstw</w:t>
      </w:r>
      <w:r>
        <w:rPr>
          <w:shd w:val="clear" w:color="auto" w:fill="FFFFFF"/>
        </w:rPr>
        <w:t>a</w:t>
      </w:r>
      <w:r w:rsidRPr="0038669A">
        <w:rPr>
          <w:shd w:val="clear" w:color="auto" w:fill="FFFFFF"/>
        </w:rPr>
        <w:t>ch rolny</w:t>
      </w:r>
      <w:r w:rsidR="004B340D">
        <w:rPr>
          <w:shd w:val="clear" w:color="auto" w:fill="FFFFFF"/>
        </w:rPr>
        <w:t xml:space="preserve">ch </w:t>
      </w:r>
      <w:r w:rsidR="004B340D">
        <w:rPr>
          <w:shd w:val="clear" w:color="auto" w:fill="FFFFFF"/>
        </w:rPr>
        <w:br/>
        <w:t>w I półroczu 2018</w:t>
      </w:r>
      <w:r>
        <w:rPr>
          <w:shd w:val="clear" w:color="auto" w:fill="FFFFFF"/>
        </w:rPr>
        <w:t xml:space="preserve"> r. </w:t>
      </w:r>
    </w:p>
    <w:p w:rsidR="00393761" w:rsidRPr="0038669A" w:rsidRDefault="00393761" w:rsidP="00074DD8">
      <w:pPr>
        <w:pStyle w:val="tytuinformacji"/>
        <w:rPr>
          <w:sz w:val="32"/>
        </w:rPr>
      </w:pPr>
    </w:p>
    <w:p w:rsidR="003337C0" w:rsidRPr="003337C0" w:rsidRDefault="003337C0" w:rsidP="003337C0">
      <w:pPr>
        <w:jc w:val="both"/>
        <w:rPr>
          <w:b/>
          <w:szCs w:val="24"/>
        </w:rPr>
      </w:pPr>
      <w:r w:rsidRPr="003337C0">
        <w:rPr>
          <w:b/>
          <w:szCs w:val="24"/>
        </w:rPr>
        <w:t xml:space="preserve">W ocenie rolników zmiany </w:t>
      </w:r>
      <w:r w:rsidR="007204AC">
        <w:rPr>
          <w:b/>
          <w:szCs w:val="24"/>
        </w:rPr>
        <w:t>jakie miały miejsce w I</w:t>
      </w:r>
      <w:r w:rsidR="00A365EB">
        <w:rPr>
          <w:b/>
          <w:szCs w:val="24"/>
        </w:rPr>
        <w:t xml:space="preserve"> półro</w:t>
      </w:r>
      <w:r w:rsidR="007204AC">
        <w:rPr>
          <w:b/>
          <w:szCs w:val="24"/>
        </w:rPr>
        <w:t>czu br</w:t>
      </w:r>
      <w:r w:rsidRPr="003337C0">
        <w:rPr>
          <w:b/>
          <w:szCs w:val="24"/>
        </w:rPr>
        <w:t>.</w:t>
      </w:r>
      <w:r w:rsidR="007204AC">
        <w:rPr>
          <w:b/>
          <w:szCs w:val="24"/>
        </w:rPr>
        <w:t>, jak i bieżąca (czerwiec 2018 r.) koniunktura w użytkowanych przez nich gospodarstwach rolnych</w:t>
      </w:r>
      <w:r w:rsidRPr="003337C0">
        <w:rPr>
          <w:b/>
          <w:szCs w:val="24"/>
        </w:rPr>
        <w:t xml:space="preserve"> kształtowa</w:t>
      </w:r>
      <w:r w:rsidR="007204AC">
        <w:rPr>
          <w:b/>
          <w:szCs w:val="24"/>
        </w:rPr>
        <w:t xml:space="preserve">ły się </w:t>
      </w:r>
      <w:r w:rsidRPr="003337C0">
        <w:rPr>
          <w:b/>
          <w:szCs w:val="24"/>
        </w:rPr>
        <w:t>niekorzystnie</w:t>
      </w:r>
      <w:r w:rsidR="00616B18">
        <w:rPr>
          <w:b/>
          <w:szCs w:val="24"/>
        </w:rPr>
        <w:t xml:space="preserve">. </w:t>
      </w:r>
      <w:r w:rsidRPr="003337C0">
        <w:rPr>
          <w:b/>
          <w:szCs w:val="24"/>
        </w:rPr>
        <w:t>Pesymistyczne były również p</w:t>
      </w:r>
      <w:r>
        <w:rPr>
          <w:b/>
          <w:szCs w:val="24"/>
        </w:rPr>
        <w:t>rognozy na I</w:t>
      </w:r>
      <w:r w:rsidR="007204AC">
        <w:rPr>
          <w:b/>
          <w:szCs w:val="24"/>
        </w:rPr>
        <w:t xml:space="preserve">I </w:t>
      </w:r>
      <w:r w:rsidRPr="003337C0">
        <w:rPr>
          <w:b/>
          <w:szCs w:val="24"/>
        </w:rPr>
        <w:t xml:space="preserve">półrocze 2018 r. </w:t>
      </w:r>
      <w:r w:rsidR="00BB10B1">
        <w:rPr>
          <w:b/>
          <w:szCs w:val="24"/>
        </w:rPr>
        <w:t>Należy</w:t>
      </w:r>
      <w:r w:rsidR="007204AC">
        <w:rPr>
          <w:b/>
          <w:szCs w:val="24"/>
        </w:rPr>
        <w:t xml:space="preserve"> podkreślić, że tak negatywnych opinii rolników nie odnotowano od 2015 r. </w:t>
      </w:r>
    </w:p>
    <w:p w:rsidR="00003437" w:rsidRDefault="00003437" w:rsidP="00BF4781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010573" w:rsidRPr="00347D61" w:rsidRDefault="00CD5ECD" w:rsidP="00347D61">
      <w:pPr>
        <w:pStyle w:val="Nagwek1"/>
        <w:spacing w:before="120" w:line="240" w:lineRule="exact"/>
        <w:jc w:val="both"/>
        <w:rPr>
          <w:rFonts w:ascii="Fira Sans" w:eastAsia="Calibri" w:hAnsi="Fira Sans"/>
          <w:color w:val="auto"/>
          <w:szCs w:val="19"/>
        </w:rPr>
      </w:pPr>
      <w:r w:rsidRPr="00CD5ECD">
        <w:rPr>
          <w:rFonts w:ascii="Fira Sans" w:hAnsi="Fira Sans"/>
          <w:color w:val="auto"/>
          <w:szCs w:val="19"/>
        </w:rPr>
        <w:t xml:space="preserve">Ogólnie </w:t>
      </w:r>
      <w:r w:rsidR="00347C1B">
        <w:rPr>
          <w:rFonts w:ascii="Fira Sans" w:hAnsi="Fira Sans"/>
          <w:color w:val="auto"/>
          <w:szCs w:val="19"/>
        </w:rPr>
        <w:t xml:space="preserve">bardzo </w:t>
      </w:r>
      <w:r w:rsidRPr="00CD5ECD">
        <w:rPr>
          <w:rFonts w:ascii="Fira Sans" w:hAnsi="Fira Sans"/>
          <w:color w:val="auto"/>
          <w:szCs w:val="19"/>
        </w:rPr>
        <w:t xml:space="preserve">pesymistyczne opinie rolników dotyczące koniunktury w gospodarstwach rolnych </w:t>
      </w:r>
      <w:r w:rsidR="00941CE3">
        <w:rPr>
          <w:rFonts w:ascii="Fira Sans" w:hAnsi="Fira Sans"/>
          <w:color w:val="auto"/>
          <w:szCs w:val="19"/>
        </w:rPr>
        <w:t>różniły się</w:t>
      </w:r>
      <w:r w:rsidRPr="00CD5ECD">
        <w:rPr>
          <w:rFonts w:ascii="Fira Sans" w:hAnsi="Fira Sans"/>
          <w:color w:val="auto"/>
          <w:szCs w:val="19"/>
        </w:rPr>
        <w:t xml:space="preserve"> w zależności od </w:t>
      </w:r>
      <w:r w:rsidRPr="00CD5ECD">
        <w:rPr>
          <w:rFonts w:ascii="Fira Sans" w:eastAsia="Calibri" w:hAnsi="Fira Sans"/>
          <w:color w:val="auto"/>
          <w:szCs w:val="19"/>
        </w:rPr>
        <w:t>formy prawnej gospodarstwa rolnego, powierzchni użytków rolnych, ukierunkowania produkcyjnego gospodarstw rolnych, rodzaju prowadzonych upraw i gatunków/grup użytkowych utrzymywanych zwierząt gospodarskich, a także od wieku i wykształcenia osoby kierującej gospodarstwem rolnym.</w:t>
      </w:r>
    </w:p>
    <w:p w:rsidR="00CD5ECD" w:rsidRPr="00CD5ECD" w:rsidRDefault="00CD5ECD" w:rsidP="00CD5ECD">
      <w:pPr>
        <w:jc w:val="both"/>
        <w:rPr>
          <w:rFonts w:eastAsia="Calibri"/>
          <w:szCs w:val="19"/>
        </w:rPr>
      </w:pPr>
      <w:r w:rsidRPr="00CD5ECD">
        <w:rPr>
          <w:rFonts w:eastAsia="Calibri"/>
          <w:szCs w:val="19"/>
        </w:rPr>
        <w:t xml:space="preserve">Analiza sald odpowiedzi pokazuje, że: </w:t>
      </w:r>
    </w:p>
    <w:p w:rsidR="00CD5ECD" w:rsidRPr="00C165A0" w:rsidRDefault="00ED60A6" w:rsidP="00C165A0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Cs w:val="19"/>
        </w:rPr>
      </w:pPr>
      <w:r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790575</wp:posOffset>
                </wp:positionV>
                <wp:extent cx="1725295" cy="838200"/>
                <wp:effectExtent l="0" t="0" r="0" b="0"/>
                <wp:wrapTight wrapText="bothSides">
                  <wp:wrapPolygon edited="0">
                    <wp:start x="715" y="0"/>
                    <wp:lineTo x="715" y="21109"/>
                    <wp:lineTo x="20749" y="21109"/>
                    <wp:lineTo x="20749" y="0"/>
                    <wp:lineTo x="715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5429D3" w:rsidRDefault="00D053DB" w:rsidP="00074DD8">
                            <w:pPr>
                              <w:pStyle w:val="tekstzboku"/>
                            </w:pPr>
                            <w:r>
                              <w:t>Najbardziej pesymistyczni w swoich ocenach byli rolnicy specjali</w:t>
                            </w:r>
                            <w:r w:rsidR="00B24436">
                              <w:t>zujący się w produkcji roślinnej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5.9pt;margin-top:62.25pt;width:135.85pt;height:6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" filled="f" stroked="f">
                <v:textbox>
                  <w:txbxContent>
                    <w:p w:rsidR="00D053DB" w:rsidRPr="005429D3" w:rsidRDefault="00D053DB" w:rsidP="00074DD8">
                      <w:pPr>
                        <w:pStyle w:val="tekstzboku"/>
                      </w:pPr>
                      <w:r>
                        <w:t>Najbardziej pesymistyczni w swoich ocenach byli rolnicy specjali</w:t>
                      </w:r>
                      <w:r w:rsidR="00B24436">
                        <w:t>zujący się w produkcji roślinnej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D5ECD" w:rsidRPr="00CD5ECD">
        <w:rPr>
          <w:szCs w:val="19"/>
        </w:rPr>
        <w:t>osoby kierujące gospodarstwami rolnymi osób prawnych i jednostek organizacyjnych niemających os</w:t>
      </w:r>
      <w:r w:rsidR="00C165A0">
        <w:rPr>
          <w:szCs w:val="19"/>
        </w:rPr>
        <w:t>obowości prawnej były mniej</w:t>
      </w:r>
      <w:r w:rsidR="00CD5ECD" w:rsidRPr="00CD5ECD">
        <w:rPr>
          <w:szCs w:val="19"/>
        </w:rPr>
        <w:t xml:space="preserve"> pesymistyczne w ocenie zmian jakie miały miej</w:t>
      </w:r>
      <w:r w:rsidR="00C165A0">
        <w:rPr>
          <w:szCs w:val="19"/>
        </w:rPr>
        <w:t>sce w I półroczu 2018</w:t>
      </w:r>
      <w:r w:rsidR="00CD5ECD" w:rsidRPr="00CD5ECD">
        <w:rPr>
          <w:szCs w:val="19"/>
        </w:rPr>
        <w:t xml:space="preserve"> r., </w:t>
      </w:r>
      <w:r w:rsidR="00A365EB">
        <w:rPr>
          <w:szCs w:val="19"/>
        </w:rPr>
        <w:t xml:space="preserve">jak również </w:t>
      </w:r>
      <w:r w:rsidR="00C165A0" w:rsidRPr="00CD5ECD">
        <w:rPr>
          <w:szCs w:val="19"/>
        </w:rPr>
        <w:t xml:space="preserve">przy ocenie bieżącej </w:t>
      </w:r>
      <w:r w:rsidR="00C165A0">
        <w:rPr>
          <w:szCs w:val="19"/>
        </w:rPr>
        <w:t>(czerwcowej)</w:t>
      </w:r>
      <w:r w:rsidR="00C165A0" w:rsidRPr="00CD5ECD">
        <w:rPr>
          <w:szCs w:val="19"/>
        </w:rPr>
        <w:t xml:space="preserve"> </w:t>
      </w:r>
      <w:r w:rsidR="00321A10">
        <w:rPr>
          <w:szCs w:val="19"/>
        </w:rPr>
        <w:t>koniunktury w gospodarstwach rolnych.</w:t>
      </w:r>
      <w:r w:rsidR="00492835">
        <w:rPr>
          <w:szCs w:val="19"/>
        </w:rPr>
        <w:t xml:space="preserve"> </w:t>
      </w:r>
      <w:r w:rsidR="00BB10B1">
        <w:rPr>
          <w:szCs w:val="19"/>
        </w:rPr>
        <w:t xml:space="preserve"> Pomimo to, w</w:t>
      </w:r>
      <w:r w:rsidR="00CD5ECD" w:rsidRPr="00C165A0">
        <w:rPr>
          <w:szCs w:val="19"/>
        </w:rPr>
        <w:t xml:space="preserve"> przeciwieństwie do użytkowników gospodarstw indywidualnych</w:t>
      </w:r>
      <w:r w:rsidR="00BB10B1">
        <w:rPr>
          <w:szCs w:val="19"/>
        </w:rPr>
        <w:t>,</w:t>
      </w:r>
      <w:r w:rsidR="00CD5ECD" w:rsidRPr="00C165A0">
        <w:rPr>
          <w:szCs w:val="19"/>
        </w:rPr>
        <w:t xml:space="preserve"> </w:t>
      </w:r>
      <w:r w:rsidR="00C165A0">
        <w:rPr>
          <w:szCs w:val="19"/>
        </w:rPr>
        <w:t>z wi</w:t>
      </w:r>
      <w:r w:rsidR="00321A10">
        <w:rPr>
          <w:szCs w:val="19"/>
        </w:rPr>
        <w:t>ę</w:t>
      </w:r>
      <w:r w:rsidR="00C165A0">
        <w:rPr>
          <w:szCs w:val="19"/>
        </w:rPr>
        <w:t>kszą obaw</w:t>
      </w:r>
      <w:r w:rsidR="00321A10">
        <w:rPr>
          <w:szCs w:val="19"/>
        </w:rPr>
        <w:t>ą</w:t>
      </w:r>
      <w:r w:rsidR="00C165A0">
        <w:rPr>
          <w:szCs w:val="19"/>
        </w:rPr>
        <w:t xml:space="preserve"> patrzyły</w:t>
      </w:r>
      <w:r w:rsidR="00321A10">
        <w:rPr>
          <w:szCs w:val="19"/>
        </w:rPr>
        <w:t xml:space="preserve"> – z wyjątkiem zapotrzebowania na produkty rolne - </w:t>
      </w:r>
      <w:r w:rsidR="00492835">
        <w:rPr>
          <w:szCs w:val="19"/>
        </w:rPr>
        <w:t xml:space="preserve"> na zmiany koniunktury</w:t>
      </w:r>
      <w:r w:rsidR="00C165A0">
        <w:rPr>
          <w:szCs w:val="19"/>
        </w:rPr>
        <w:t xml:space="preserve"> w II półroczu 2018 r.</w:t>
      </w:r>
      <w:r w:rsidR="00321A10">
        <w:rPr>
          <w:szCs w:val="19"/>
        </w:rPr>
        <w:t>,</w:t>
      </w:r>
      <w:r w:rsidR="00CD5ECD" w:rsidRPr="00C165A0">
        <w:rPr>
          <w:szCs w:val="19"/>
        </w:rPr>
        <w:t xml:space="preserve"> </w:t>
      </w:r>
    </w:p>
    <w:p w:rsidR="00CD5ECD" w:rsidRPr="00CD5ECD" w:rsidRDefault="00ED60A6" w:rsidP="00CD5ECD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Cs w:val="19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638175</wp:posOffset>
                </wp:positionV>
                <wp:extent cx="1725295" cy="1085850"/>
                <wp:effectExtent l="0" t="0" r="0" b="0"/>
                <wp:wrapTight wrapText="bothSides">
                  <wp:wrapPolygon edited="0">
                    <wp:start x="715" y="0"/>
                    <wp:lineTo x="715" y="21221"/>
                    <wp:lineTo x="20749" y="21221"/>
                    <wp:lineTo x="20749" y="0"/>
                    <wp:lineTo x="715" y="0"/>
                  </wp:wrapPolygon>
                </wp:wrapTight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5429D3" w:rsidRDefault="00D053DB" w:rsidP="00AC2E14">
                            <w:pPr>
                              <w:pStyle w:val="tekstzboku"/>
                            </w:pPr>
                            <w:r>
                              <w:t>Najmniej pesymistyczni w ocenach byli użytkownicy gospodarstw najmniejszych tj. do 2 ha oraz o powierzchni 20-50 ha użytków rolnych i rolnicy</w:t>
                            </w:r>
                            <w:r w:rsidR="00B24436">
                              <w:t xml:space="preserve"> w wieku do 45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5.9pt;margin-top:50.25pt;width:135.85pt;height:85.5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" filled="f" stroked="f">
                <v:textbox>
                  <w:txbxContent>
                    <w:p w:rsidR="00D053DB" w:rsidRPr="005429D3" w:rsidRDefault="00D053DB" w:rsidP="00AC2E14">
                      <w:pPr>
                        <w:pStyle w:val="tekstzboku"/>
                      </w:pPr>
                      <w:r>
                        <w:t>Najmniej pesymistyczni w ocenach byli użytkownicy gospodarstw najmniejszych tj. do 2 ha oraz o powierzchni 20-50 ha użytków rolnych i rolnicy</w:t>
                      </w:r>
                      <w:r w:rsidR="00B24436">
                        <w:t xml:space="preserve"> w wieku do 45 lat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D5ECD" w:rsidRPr="00CD5ECD">
        <w:rPr>
          <w:szCs w:val="19"/>
        </w:rPr>
        <w:t>biorąc pod uwagę ukierunkowanie produkcyjne</w:t>
      </w:r>
      <w:r w:rsidR="002358C8">
        <w:rPr>
          <w:szCs w:val="19"/>
        </w:rPr>
        <w:t>,</w:t>
      </w:r>
      <w:r w:rsidR="00CD5ECD" w:rsidRPr="00CD5ECD">
        <w:rPr>
          <w:szCs w:val="19"/>
        </w:rPr>
        <w:t xml:space="preserve"> najgo</w:t>
      </w:r>
      <w:r w:rsidR="00321A10">
        <w:rPr>
          <w:szCs w:val="19"/>
        </w:rPr>
        <w:t>rzej koniunkturę</w:t>
      </w:r>
      <w:r w:rsidR="00611794">
        <w:rPr>
          <w:szCs w:val="19"/>
        </w:rPr>
        <w:t xml:space="preserve"> </w:t>
      </w:r>
      <w:r w:rsidR="00CD5ECD" w:rsidRPr="00CD5ECD">
        <w:rPr>
          <w:szCs w:val="19"/>
        </w:rPr>
        <w:t>ocenili użytkownicy gospodarstw specjalizujących się w produkcji roślinnej</w:t>
      </w:r>
      <w:r w:rsidR="00611794">
        <w:rPr>
          <w:szCs w:val="19"/>
        </w:rPr>
        <w:t>, a w następnej kolejności rolnicy prowadzący gospodarstwa wielokierunkowe</w:t>
      </w:r>
      <w:r w:rsidR="00CD5ECD" w:rsidRPr="00CD5ECD">
        <w:rPr>
          <w:szCs w:val="19"/>
        </w:rPr>
        <w:t xml:space="preserve">. Wśród użytkowników gospodarstw specjalizujących się w produkcji zwierzęcej </w:t>
      </w:r>
      <w:r w:rsidR="00611794">
        <w:rPr>
          <w:szCs w:val="19"/>
        </w:rPr>
        <w:t>odnotowano najwięcej</w:t>
      </w:r>
      <w:r w:rsidR="00CD5ECD" w:rsidRPr="00CD5ECD">
        <w:rPr>
          <w:szCs w:val="19"/>
        </w:rPr>
        <w:t xml:space="preserve"> pozytyw</w:t>
      </w:r>
      <w:r w:rsidR="00611794">
        <w:rPr>
          <w:szCs w:val="19"/>
        </w:rPr>
        <w:t>nych</w:t>
      </w:r>
      <w:r w:rsidR="00CD5ECD" w:rsidRPr="00CD5ECD">
        <w:rPr>
          <w:szCs w:val="19"/>
        </w:rPr>
        <w:t xml:space="preserve"> o</w:t>
      </w:r>
      <w:r w:rsidR="00611794">
        <w:rPr>
          <w:szCs w:val="19"/>
        </w:rPr>
        <w:t xml:space="preserve">pinii o </w:t>
      </w:r>
      <w:r w:rsidR="00CD5ECD" w:rsidRPr="00CD5ECD">
        <w:rPr>
          <w:szCs w:val="19"/>
        </w:rPr>
        <w:t xml:space="preserve"> </w:t>
      </w:r>
      <w:r w:rsidR="00492835">
        <w:rPr>
          <w:szCs w:val="19"/>
        </w:rPr>
        <w:t>bieżącej opłacalności produkcji rolniczej</w:t>
      </w:r>
      <w:r w:rsidR="00031306">
        <w:rPr>
          <w:szCs w:val="19"/>
        </w:rPr>
        <w:t>. Gospodarstwa te również z większym optymizmem patrzyły na zmiany koniunktury w II półroczu 20</w:t>
      </w:r>
      <w:r w:rsidR="00B24436">
        <w:rPr>
          <w:szCs w:val="19"/>
        </w:rPr>
        <w:t>1</w:t>
      </w:r>
      <w:r w:rsidR="00031306">
        <w:rPr>
          <w:szCs w:val="19"/>
        </w:rPr>
        <w:t>8 r.,</w:t>
      </w:r>
    </w:p>
    <w:p w:rsidR="00CD5ECD" w:rsidRPr="00CD5ECD" w:rsidRDefault="00B24436" w:rsidP="00CD5ECD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Cs w:val="19"/>
        </w:rPr>
      </w:pPr>
      <w:r>
        <w:rPr>
          <w:szCs w:val="19"/>
        </w:rPr>
        <w:t>n</w:t>
      </w:r>
      <w:r w:rsidR="006225F1">
        <w:rPr>
          <w:szCs w:val="19"/>
        </w:rPr>
        <w:t>ajmniej pesymistyczni</w:t>
      </w:r>
      <w:r w:rsidR="00CD5ECD" w:rsidRPr="00CD5ECD">
        <w:rPr>
          <w:szCs w:val="19"/>
        </w:rPr>
        <w:t xml:space="preserve"> w swoich ocenach byli użytkownicy gospodarstw rolnych o powierzchni </w:t>
      </w:r>
      <w:r w:rsidR="006225F1">
        <w:rPr>
          <w:szCs w:val="19"/>
        </w:rPr>
        <w:t xml:space="preserve">do </w:t>
      </w:r>
      <w:r w:rsidR="003B5763">
        <w:rPr>
          <w:szCs w:val="19"/>
        </w:rPr>
        <w:t>2 ha</w:t>
      </w:r>
      <w:r w:rsidR="006225F1">
        <w:rPr>
          <w:szCs w:val="19"/>
        </w:rPr>
        <w:t xml:space="preserve"> </w:t>
      </w:r>
      <w:r>
        <w:rPr>
          <w:szCs w:val="19"/>
        </w:rPr>
        <w:t xml:space="preserve">oraz </w:t>
      </w:r>
      <w:r w:rsidR="00CD5ECD" w:rsidRPr="00CD5ECD">
        <w:rPr>
          <w:szCs w:val="19"/>
        </w:rPr>
        <w:t>od 20 do 50 ha użytków rolnych,</w:t>
      </w:r>
    </w:p>
    <w:p w:rsidR="00CD5ECD" w:rsidRDefault="00CD5ECD" w:rsidP="00CD5ECD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Cs w:val="19"/>
        </w:rPr>
      </w:pPr>
      <w:r w:rsidRPr="00CD5ECD">
        <w:rPr>
          <w:szCs w:val="19"/>
        </w:rPr>
        <w:t>najwięcej optymistycznych opin</w:t>
      </w:r>
      <w:r w:rsidR="00B24436">
        <w:rPr>
          <w:szCs w:val="19"/>
        </w:rPr>
        <w:t>ii wyrażali młodzi rolnicy (do 4</w:t>
      </w:r>
      <w:r w:rsidRPr="00CD5ECD">
        <w:rPr>
          <w:szCs w:val="19"/>
        </w:rPr>
        <w:t>5 lat)</w:t>
      </w:r>
      <w:r w:rsidR="00B24436">
        <w:rPr>
          <w:szCs w:val="19"/>
        </w:rPr>
        <w:t>, z wyższym wykształceniem rolniczym</w:t>
      </w:r>
      <w:r w:rsidRPr="00CD5ECD">
        <w:rPr>
          <w:szCs w:val="19"/>
        </w:rPr>
        <w:t xml:space="preserve"> oraz osoby prowadzące gos</w:t>
      </w:r>
      <w:r w:rsidR="003B5763">
        <w:rPr>
          <w:szCs w:val="19"/>
        </w:rPr>
        <w:t>podarstwo rolne nie dłużej niż 10</w:t>
      </w:r>
      <w:r w:rsidRPr="00CD5ECD">
        <w:rPr>
          <w:szCs w:val="19"/>
        </w:rPr>
        <w:t xml:space="preserve"> lat.</w:t>
      </w:r>
    </w:p>
    <w:p w:rsidR="004B0DC7" w:rsidRDefault="004B0DC7" w:rsidP="004B0DC7">
      <w:pPr>
        <w:pStyle w:val="Akapitzlist"/>
        <w:tabs>
          <w:tab w:val="left" w:pos="426"/>
        </w:tabs>
        <w:ind w:left="360"/>
        <w:jc w:val="both"/>
        <w:rPr>
          <w:szCs w:val="19"/>
        </w:rPr>
      </w:pPr>
    </w:p>
    <w:p w:rsidR="00A7224C" w:rsidRDefault="009F4003" w:rsidP="00EC54C6">
      <w:pPr>
        <w:pStyle w:val="tytuwykresu"/>
        <w:ind w:left="709" w:hanging="709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428625</wp:posOffset>
            </wp:positionV>
            <wp:extent cx="5219700" cy="2990850"/>
            <wp:effectExtent l="0" t="0" r="0" b="0"/>
            <wp:wrapSquare wrapText="bothSides"/>
            <wp:docPr id="8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7224C" w:rsidRPr="00347D61">
        <w:t>Wykres 1</w:t>
      </w:r>
      <w:r w:rsidR="000232CF">
        <w:t xml:space="preserve">. </w:t>
      </w:r>
      <w:r w:rsidR="00A7224C" w:rsidRPr="00347D61">
        <w:rPr>
          <w:shd w:val="clear" w:color="auto" w:fill="FFFFFF"/>
        </w:rPr>
        <w:t xml:space="preserve"> </w:t>
      </w:r>
      <w:r w:rsidR="00347D61" w:rsidRPr="00347D61">
        <w:rPr>
          <w:shd w:val="clear" w:color="auto" w:fill="FFFFFF"/>
        </w:rPr>
        <w:t>Salda odpowiedzi dla b</w:t>
      </w:r>
      <w:r w:rsidR="00347D61">
        <w:rPr>
          <w:shd w:val="clear" w:color="auto" w:fill="FFFFFF"/>
        </w:rPr>
        <w:t>ieżącej i prognozowanej sytuacji gospodarstw rolnych według</w:t>
      </w:r>
      <w:r w:rsidR="00EC54C6">
        <w:rPr>
          <w:shd w:val="clear" w:color="auto" w:fill="FFFFFF"/>
        </w:rPr>
        <w:t xml:space="preserve"> grup obszarowych użytków rolnych</w:t>
      </w:r>
    </w:p>
    <w:p w:rsidR="009F4003" w:rsidRDefault="009F4003" w:rsidP="00EC54C6">
      <w:pPr>
        <w:pStyle w:val="tytuwykresu"/>
        <w:ind w:left="709" w:hanging="709"/>
        <w:rPr>
          <w:shd w:val="clear" w:color="auto" w:fill="FFFFFF"/>
        </w:rPr>
      </w:pPr>
    </w:p>
    <w:p w:rsidR="00010573" w:rsidRDefault="0046134A" w:rsidP="00553DB9">
      <w:pPr>
        <w:pStyle w:val="tytuwykresu"/>
        <w:ind w:left="737" w:hanging="737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444500</wp:posOffset>
            </wp:positionV>
            <wp:extent cx="5219700" cy="2847975"/>
            <wp:effectExtent l="0" t="0" r="0" b="0"/>
            <wp:wrapSquare wrapText="bothSides"/>
            <wp:docPr id="9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553DB9" w:rsidRPr="00553DB9">
        <w:t>Wykres 2</w:t>
      </w:r>
      <w:r w:rsidR="00CD5ECD" w:rsidRPr="00553DB9">
        <w:t>.</w:t>
      </w:r>
      <w:r w:rsidR="00CD5ECD" w:rsidRPr="00553DB9">
        <w:rPr>
          <w:shd w:val="clear" w:color="auto" w:fill="FFFFFF"/>
        </w:rPr>
        <w:t xml:space="preserve"> </w:t>
      </w:r>
      <w:r w:rsidR="00553DB9">
        <w:rPr>
          <w:shd w:val="clear" w:color="auto" w:fill="FFFFFF"/>
        </w:rPr>
        <w:t>Salda</w:t>
      </w:r>
      <w:r w:rsidR="00B74982">
        <w:rPr>
          <w:shd w:val="clear" w:color="auto" w:fill="FFFFFF"/>
        </w:rPr>
        <w:t xml:space="preserve"> odpowiedzi dla bieżącej (VI 2018</w:t>
      </w:r>
      <w:r w:rsidR="00553DB9" w:rsidRPr="00553DB9">
        <w:rPr>
          <w:shd w:val="clear" w:color="auto" w:fill="FFFFFF"/>
        </w:rPr>
        <w:t xml:space="preserve"> r.) i prognozowanej (I</w:t>
      </w:r>
      <w:r w:rsidR="00B74982">
        <w:rPr>
          <w:shd w:val="clear" w:color="auto" w:fill="FFFFFF"/>
        </w:rPr>
        <w:t>I</w:t>
      </w:r>
      <w:r w:rsidR="00553DB9" w:rsidRPr="00553DB9">
        <w:rPr>
          <w:shd w:val="clear" w:color="auto" w:fill="FFFFFF"/>
        </w:rPr>
        <w:t xml:space="preserve"> pół. 2018 r.) sytuacji gospodarstw rolnych według wieku osoby kierującej gospodarstwem rolnym </w:t>
      </w:r>
    </w:p>
    <w:p w:rsidR="00A93310" w:rsidRDefault="00A93310" w:rsidP="00074DD8">
      <w:pPr>
        <w:pStyle w:val="Nagwek1"/>
        <w:rPr>
          <w:shd w:val="clear" w:color="auto" w:fill="FFFFFF"/>
        </w:rPr>
      </w:pPr>
    </w:p>
    <w:p w:rsidR="00C22105" w:rsidRPr="00616B18" w:rsidRDefault="00ED60A6" w:rsidP="00074DD8">
      <w:pPr>
        <w:pStyle w:val="Nagwek1"/>
      </w:pPr>
      <w:r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19050</wp:posOffset>
                </wp:positionV>
                <wp:extent cx="1725295" cy="781050"/>
                <wp:effectExtent l="0" t="0" r="0" b="0"/>
                <wp:wrapTight wrapText="bothSides">
                  <wp:wrapPolygon edited="0">
                    <wp:start x="715" y="0"/>
                    <wp:lineTo x="715" y="21073"/>
                    <wp:lineTo x="20749" y="21073"/>
                    <wp:lineTo x="20749" y="0"/>
                    <wp:lineTo x="715" y="0"/>
                  </wp:wrapPolygon>
                </wp:wrapTight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332E9B" w:rsidRDefault="00D053DB" w:rsidP="00074DD8">
                            <w:pPr>
                              <w:pStyle w:val="tekstzboku"/>
                            </w:pPr>
                            <w:r w:rsidRPr="00332E9B">
                              <w:t>Niekorzystne zmiany w koniunkturze w</w:t>
                            </w:r>
                            <w:r>
                              <w:t xml:space="preserve"> gospodarstwach rolnych w I półroczu 2018 r.</w:t>
                            </w:r>
                          </w:p>
                          <w:p w:rsidR="00D053DB" w:rsidRPr="00D616D2" w:rsidRDefault="00D053D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2.05pt;margin-top:1.5pt;width:135.85pt;height:61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" filled="f" stroked="f">
                <v:textbox>
                  <w:txbxContent>
                    <w:p w:rsidR="00D053DB" w:rsidRPr="00332E9B" w:rsidRDefault="00D053DB" w:rsidP="00074DD8">
                      <w:pPr>
                        <w:pStyle w:val="tekstzboku"/>
                      </w:pPr>
                      <w:r w:rsidRPr="00332E9B">
                        <w:t>Niekorzystne zmiany w koniunkturze w</w:t>
                      </w:r>
                      <w:r>
                        <w:t xml:space="preserve"> gospodarstwach rolnych w I półroczu 2018 r.</w:t>
                      </w:r>
                    </w:p>
                    <w:p w:rsidR="00D053DB" w:rsidRPr="00D616D2" w:rsidRDefault="00D053D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429D3">
        <w:rPr>
          <w:shd w:val="clear" w:color="auto" w:fill="FFFFFF"/>
        </w:rPr>
        <w:t>Z</w:t>
      </w:r>
      <w:r w:rsidR="005429D3" w:rsidRPr="005429D3">
        <w:rPr>
          <w:shd w:val="clear" w:color="auto" w:fill="FFFFFF"/>
        </w:rPr>
        <w:t>miany w koniunkturze w I</w:t>
      </w:r>
      <w:r w:rsidR="00AC59A5">
        <w:rPr>
          <w:shd w:val="clear" w:color="auto" w:fill="FFFFFF"/>
        </w:rPr>
        <w:t xml:space="preserve"> półroczu 2018</w:t>
      </w:r>
      <w:r w:rsidR="005429D3">
        <w:rPr>
          <w:shd w:val="clear" w:color="auto" w:fill="FFFFFF"/>
        </w:rPr>
        <w:t xml:space="preserve"> r. </w:t>
      </w:r>
    </w:p>
    <w:p w:rsidR="005429D3" w:rsidRDefault="00ED60A6" w:rsidP="005429D3">
      <w:pPr>
        <w:jc w:val="both"/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567690</wp:posOffset>
                </wp:positionV>
                <wp:extent cx="1725295" cy="971550"/>
                <wp:effectExtent l="0" t="0" r="0" b="0"/>
                <wp:wrapTight wrapText="bothSides">
                  <wp:wrapPolygon edited="0">
                    <wp:start x="715" y="0"/>
                    <wp:lineTo x="715" y="21176"/>
                    <wp:lineTo x="20749" y="21176"/>
                    <wp:lineTo x="20749" y="0"/>
                    <wp:lineTo x="715" y="0"/>
                  </wp:wrapPolygon>
                </wp:wrapTight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332E9B" w:rsidRDefault="00D053DB" w:rsidP="003367CB">
                            <w:pPr>
                              <w:pStyle w:val="tekstzboku"/>
                            </w:pPr>
                            <w:r w:rsidRPr="00332E9B">
                              <w:t>N</w:t>
                            </w:r>
                            <w:r>
                              <w:t>ajbardziej pesymistyczni w ocenach byli rolnicy prowadzący plantacje drzew i krzewów owocowych oraz chów świń</w:t>
                            </w:r>
                            <w:r w:rsidR="00E348EB">
                              <w:t xml:space="preserve"> i bydła rzeźnego</w:t>
                            </w:r>
                          </w:p>
                          <w:p w:rsidR="00D053DB" w:rsidRPr="00D616D2" w:rsidRDefault="00D053DB" w:rsidP="003367C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1.75pt;margin-top:44.7pt;width:135.85pt;height:76.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" filled="f" stroked="f">
                <v:textbox>
                  <w:txbxContent>
                    <w:p w:rsidR="00D053DB" w:rsidRPr="00332E9B" w:rsidRDefault="00D053DB" w:rsidP="003367CB">
                      <w:pPr>
                        <w:pStyle w:val="tekstzboku"/>
                      </w:pPr>
                      <w:r w:rsidRPr="00332E9B">
                        <w:t>N</w:t>
                      </w:r>
                      <w:r>
                        <w:t>ajbardziej pesymistyczni w ocenach byli rolnicy prowadzący plantacje drzew i krzewów owocowych oraz chów świń</w:t>
                      </w:r>
                      <w:r w:rsidR="00E348EB">
                        <w:t xml:space="preserve"> i bydła rzeźnego</w:t>
                      </w:r>
                    </w:p>
                    <w:p w:rsidR="00D053DB" w:rsidRPr="00D616D2" w:rsidRDefault="00D053DB" w:rsidP="003367C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24C89">
        <w:rPr>
          <w:szCs w:val="19"/>
        </w:rPr>
        <w:t xml:space="preserve">W </w:t>
      </w:r>
      <w:r w:rsidR="00AC59A5">
        <w:rPr>
          <w:szCs w:val="19"/>
        </w:rPr>
        <w:t>I półroczu 2018</w:t>
      </w:r>
      <w:r w:rsidR="005429D3" w:rsidRPr="005429D3">
        <w:rPr>
          <w:szCs w:val="19"/>
        </w:rPr>
        <w:t xml:space="preserve"> r. </w:t>
      </w:r>
      <w:r w:rsidR="00AC59A5">
        <w:rPr>
          <w:szCs w:val="19"/>
        </w:rPr>
        <w:t xml:space="preserve">rolnicy </w:t>
      </w:r>
      <w:r w:rsidR="005429D3" w:rsidRPr="005429D3">
        <w:rPr>
          <w:szCs w:val="19"/>
        </w:rPr>
        <w:t>bardziej pesymistycznie</w:t>
      </w:r>
      <w:r w:rsidR="00E348EB">
        <w:rPr>
          <w:szCs w:val="19"/>
        </w:rPr>
        <w:t xml:space="preserve"> w porównaniu do poprzedniej edycji badania </w:t>
      </w:r>
      <w:r w:rsidR="005429D3" w:rsidRPr="005429D3">
        <w:rPr>
          <w:szCs w:val="19"/>
        </w:rPr>
        <w:t>ocenili zarówno ogólną sytuację prowadzonych przez siebie gospodarstw rolnych, op</w:t>
      </w:r>
      <w:r w:rsidR="00CA3976">
        <w:rPr>
          <w:szCs w:val="19"/>
        </w:rPr>
        <w:t>łacalność produkcji rolni</w:t>
      </w:r>
      <w:r w:rsidR="00FF29E0">
        <w:rPr>
          <w:szCs w:val="19"/>
        </w:rPr>
        <w:t>czej</w:t>
      </w:r>
      <w:r w:rsidR="00E658D5">
        <w:rPr>
          <w:szCs w:val="19"/>
        </w:rPr>
        <w:t>, jak</w:t>
      </w:r>
      <w:r w:rsidR="00FF29E0">
        <w:rPr>
          <w:szCs w:val="19"/>
        </w:rPr>
        <w:t xml:space="preserve"> i</w:t>
      </w:r>
      <w:r w:rsidR="005429D3" w:rsidRPr="005429D3">
        <w:rPr>
          <w:szCs w:val="19"/>
        </w:rPr>
        <w:t xml:space="preserve"> zapotrzebowani</w:t>
      </w:r>
      <w:r w:rsidR="00FF29E0">
        <w:rPr>
          <w:szCs w:val="19"/>
        </w:rPr>
        <w:t>e</w:t>
      </w:r>
      <w:r w:rsidR="005429D3" w:rsidRPr="005429D3">
        <w:rPr>
          <w:szCs w:val="19"/>
        </w:rPr>
        <w:t xml:space="preserve"> na produkty rolne.</w:t>
      </w:r>
      <w:r w:rsidR="00896B33" w:rsidRPr="00896B33">
        <w:t xml:space="preserve"> </w:t>
      </w:r>
      <w:r w:rsidR="00AC59A5">
        <w:t>Tak negatywnych opinii nie odnotowano od grudnia 2015 r.</w:t>
      </w:r>
    </w:p>
    <w:p w:rsidR="00606FFC" w:rsidRDefault="00A24C89" w:rsidP="005429D3">
      <w:pPr>
        <w:jc w:val="both"/>
        <w:rPr>
          <w:szCs w:val="19"/>
        </w:rPr>
      </w:pPr>
      <w:r>
        <w:rPr>
          <w:szCs w:val="19"/>
        </w:rPr>
        <w:t>W</w:t>
      </w:r>
      <w:r w:rsidR="00606FFC" w:rsidRPr="00896B33">
        <w:rPr>
          <w:szCs w:val="19"/>
        </w:rPr>
        <w:t>śród gospodarstw ukierunkowanych na produkcj</w:t>
      </w:r>
      <w:r>
        <w:rPr>
          <w:szCs w:val="19"/>
        </w:rPr>
        <w:t>ę rośliną najmniej pesymistyczn</w:t>
      </w:r>
      <w:r w:rsidR="00606FFC" w:rsidRPr="00896B33">
        <w:rPr>
          <w:szCs w:val="19"/>
        </w:rPr>
        <w:t xml:space="preserve">e opinie wyrażali rolnicy prowadzący uprawy </w:t>
      </w:r>
      <w:r w:rsidR="00A93310">
        <w:rPr>
          <w:szCs w:val="19"/>
        </w:rPr>
        <w:t>warzyw gruntowych</w:t>
      </w:r>
      <w:r w:rsidR="000A6BF4">
        <w:rPr>
          <w:szCs w:val="19"/>
        </w:rPr>
        <w:t>, ziemniaków</w:t>
      </w:r>
      <w:r w:rsidR="00A93310">
        <w:rPr>
          <w:szCs w:val="19"/>
        </w:rPr>
        <w:t xml:space="preserve"> oraz uprawy </w:t>
      </w:r>
      <w:r w:rsidR="00606FFC" w:rsidRPr="00896B33">
        <w:rPr>
          <w:szCs w:val="19"/>
        </w:rPr>
        <w:t>pod osło</w:t>
      </w:r>
      <w:r w:rsidR="00A93310">
        <w:rPr>
          <w:szCs w:val="19"/>
        </w:rPr>
        <w:t>nami. Wśród gospodarstw specjalizujących się w produkcji zwierzęcej, jedynie u producentów drobiu rzeźnego odnotowano przewagę opinii pozytywnych nad negatywnymi zarówno w ocenie sytuacji ogólnej gospodarstw rolnych, opłacalności produkcji</w:t>
      </w:r>
      <w:r w:rsidR="000A6BF4">
        <w:rPr>
          <w:szCs w:val="19"/>
        </w:rPr>
        <w:t>,</w:t>
      </w:r>
      <w:r w:rsidR="00A93310">
        <w:rPr>
          <w:szCs w:val="19"/>
        </w:rPr>
        <w:t xml:space="preserve"> jak również popytu na produkty rolne. </w:t>
      </w:r>
      <w:r w:rsidR="00606FFC" w:rsidRPr="00896B33">
        <w:rPr>
          <w:szCs w:val="19"/>
        </w:rPr>
        <w:t>Najwięcej negatywnych opinii wyrażali producenci prowadzący plantacje drzew i krzewów owoco</w:t>
      </w:r>
      <w:r w:rsidR="00A93310">
        <w:rPr>
          <w:szCs w:val="19"/>
        </w:rPr>
        <w:t>wych,</w:t>
      </w:r>
      <w:r w:rsidR="00606FFC" w:rsidRPr="00896B33">
        <w:rPr>
          <w:szCs w:val="19"/>
        </w:rPr>
        <w:t xml:space="preserve"> a także hodowcy świń i </w:t>
      </w:r>
      <w:r w:rsidR="00A93310">
        <w:rPr>
          <w:szCs w:val="19"/>
        </w:rPr>
        <w:t>bydła</w:t>
      </w:r>
      <w:r w:rsidR="009D0103">
        <w:rPr>
          <w:szCs w:val="19"/>
        </w:rPr>
        <w:t xml:space="preserve"> rzeźnego</w:t>
      </w:r>
      <w:r w:rsidR="00606FFC" w:rsidRPr="00896B33">
        <w:rPr>
          <w:szCs w:val="19"/>
        </w:rPr>
        <w:t>.</w:t>
      </w:r>
    </w:p>
    <w:p w:rsidR="003367CB" w:rsidRPr="005429D3" w:rsidRDefault="003367CB" w:rsidP="005429D3">
      <w:pPr>
        <w:jc w:val="both"/>
        <w:rPr>
          <w:szCs w:val="19"/>
        </w:rPr>
      </w:pPr>
    </w:p>
    <w:p w:rsidR="00E9674F" w:rsidRDefault="008135C1" w:rsidP="00E9674F">
      <w:pPr>
        <w:pStyle w:val="tytuwykresu"/>
        <w:ind w:left="737" w:hanging="737"/>
        <w:rPr>
          <w:shd w:val="clear" w:color="auto" w:fill="FFFFFF"/>
        </w:rPr>
      </w:pPr>
      <w:r>
        <w:t>Wykres 3</w:t>
      </w:r>
      <w:r w:rsidR="00E9674F" w:rsidRPr="00496AD4">
        <w:t>.</w:t>
      </w:r>
      <w:r w:rsidR="00E9674F" w:rsidRPr="00496AD4">
        <w:rPr>
          <w:shd w:val="clear" w:color="auto" w:fill="FFFFFF"/>
        </w:rPr>
        <w:t xml:space="preserve"> </w:t>
      </w:r>
      <w:r w:rsidR="00E9674F" w:rsidRPr="00196B8E">
        <w:rPr>
          <w:shd w:val="clear" w:color="auto" w:fill="FFFFFF"/>
        </w:rPr>
        <w:t>Salda</w:t>
      </w:r>
      <w:r w:rsidR="00AF379A">
        <w:rPr>
          <w:shd w:val="clear" w:color="auto" w:fill="FFFFFF"/>
        </w:rPr>
        <w:t xml:space="preserve"> odpowiedzi dotyczące zmian w I półroczu 2018</w:t>
      </w:r>
      <w:r w:rsidR="00E9674F" w:rsidRPr="00196B8E">
        <w:rPr>
          <w:shd w:val="clear" w:color="auto" w:fill="FFFFFF"/>
        </w:rPr>
        <w:t xml:space="preserve"> r. sytuacji ogólnej gospodarstw rolnych, opłacalności produkcji rolni</w:t>
      </w:r>
      <w:r w:rsidR="00E9674F">
        <w:rPr>
          <w:shd w:val="clear" w:color="auto" w:fill="FFFFFF"/>
        </w:rPr>
        <w:t>czej i popytu na produkty rolne</w:t>
      </w:r>
      <w:r w:rsidR="009D0103">
        <w:rPr>
          <w:shd w:val="clear" w:color="auto" w:fill="FFFFFF"/>
        </w:rPr>
        <w:t xml:space="preserve"> </w:t>
      </w:r>
    </w:p>
    <w:p w:rsidR="009D0103" w:rsidRDefault="009D0103" w:rsidP="00E9674F">
      <w:pPr>
        <w:pStyle w:val="tytuwykresu"/>
        <w:ind w:left="737" w:hanging="737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5124450" cy="2619375"/>
            <wp:effectExtent l="0" t="0" r="0" b="0"/>
            <wp:wrapSquare wrapText="bothSides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047EAA" w:rsidRPr="0014690A" w:rsidRDefault="00047EAA" w:rsidP="0014690A">
      <w:pPr>
        <w:ind w:left="851" w:hanging="851"/>
        <w:jc w:val="both"/>
        <w:rPr>
          <w:b/>
          <w:sz w:val="18"/>
          <w:szCs w:val="18"/>
        </w:rPr>
      </w:pPr>
      <w:r w:rsidRPr="00ED5B39">
        <w:rPr>
          <w:b/>
          <w:sz w:val="18"/>
          <w:szCs w:val="18"/>
        </w:rPr>
        <w:t xml:space="preserve">Tablica 1. Salda </w:t>
      </w:r>
      <w:r w:rsidR="008A3C0D">
        <w:rPr>
          <w:b/>
          <w:sz w:val="18"/>
          <w:szCs w:val="18"/>
        </w:rPr>
        <w:t xml:space="preserve">odpowiedzi dotyczące </w:t>
      </w:r>
      <w:r w:rsidRPr="00ED5B39">
        <w:rPr>
          <w:b/>
          <w:sz w:val="18"/>
          <w:szCs w:val="18"/>
        </w:rPr>
        <w:t>ocen zmian: sytuacji ogólnej gospodarstwa rolnego, opłacalności produkcji rolniczej oraz</w:t>
      </w:r>
      <w:r>
        <w:rPr>
          <w:b/>
          <w:sz w:val="18"/>
          <w:szCs w:val="18"/>
        </w:rPr>
        <w:t xml:space="preserve"> popytu na produkty rolne</w:t>
      </w:r>
    </w:p>
    <w:tbl>
      <w:tblPr>
        <w:tblW w:w="8172" w:type="dxa"/>
        <w:jc w:val="center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1134"/>
        <w:gridCol w:w="1134"/>
        <w:gridCol w:w="1134"/>
        <w:gridCol w:w="1134"/>
        <w:gridCol w:w="1134"/>
        <w:gridCol w:w="1134"/>
      </w:tblGrid>
      <w:tr w:rsidR="00047EAA" w:rsidRPr="00ED5B39" w:rsidTr="00632C30">
        <w:trPr>
          <w:trHeight w:val="315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 xml:space="preserve">Okres badania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Zmiana sytuacji ogólnej gospodarstwa rolnego w:</w:t>
            </w:r>
          </w:p>
        </w:tc>
        <w:tc>
          <w:tcPr>
            <w:tcW w:w="2268" w:type="dxa"/>
            <w:gridSpan w:val="2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Zmiana opłacalności produkcji rolniczej w:</w:t>
            </w:r>
          </w:p>
        </w:tc>
        <w:tc>
          <w:tcPr>
            <w:tcW w:w="2268" w:type="dxa"/>
            <w:gridSpan w:val="2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Zmiana popytu na produkty rolne w:</w:t>
            </w:r>
          </w:p>
        </w:tc>
      </w:tr>
      <w:tr w:rsidR="00047EAA" w:rsidRPr="00ED5B39" w:rsidTr="00632C30">
        <w:trPr>
          <w:trHeight w:val="315"/>
          <w:jc w:val="center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ostatnim półroczu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najbliższym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ostatnim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najbliższym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ostatnim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najbliższym półroczu</w:t>
            </w:r>
          </w:p>
        </w:tc>
      </w:tr>
      <w:tr w:rsidR="00047EAA" w:rsidRPr="00ED5B39" w:rsidTr="00632C30">
        <w:trPr>
          <w:trHeight w:val="315"/>
          <w:jc w:val="center"/>
        </w:trPr>
        <w:tc>
          <w:tcPr>
            <w:tcW w:w="1368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i/>
                <w:sz w:val="16"/>
                <w:szCs w:val="16"/>
              </w:rPr>
            </w:pPr>
            <w:r w:rsidRPr="00ED5B39">
              <w:rPr>
                <w:bCs/>
                <w:i/>
                <w:sz w:val="16"/>
                <w:szCs w:val="16"/>
              </w:rPr>
              <w:t>saldo odpowiedzi w p. proc.</w:t>
            </w:r>
          </w:p>
        </w:tc>
      </w:tr>
      <w:tr w:rsidR="00047EAA" w:rsidRPr="00ED5B39" w:rsidTr="00632C30">
        <w:trPr>
          <w:trHeight w:val="562"/>
          <w:jc w:val="center"/>
        </w:trPr>
        <w:tc>
          <w:tcPr>
            <w:tcW w:w="1368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2013 r.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-17,3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-11,9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-35,7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-19,1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-9,9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-5,1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Grudzień 2013 r.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-16,4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-4,1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-29,8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-9,7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-6,7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-1,0</w:t>
            </w:r>
          </w:p>
        </w:tc>
      </w:tr>
      <w:tr w:rsidR="00047EAA" w:rsidRPr="00ED5B39" w:rsidTr="00632C30">
        <w:trPr>
          <w:trHeight w:val="562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2014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-4,4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-30,6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-10,8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-11,0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-3,7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Grudzień 2014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-15,9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-51,4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-21,2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-28,1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-12,3</w:t>
            </w:r>
          </w:p>
        </w:tc>
      </w:tr>
      <w:tr w:rsidR="00047EAA" w:rsidRPr="00ED5B39" w:rsidTr="00632C30">
        <w:trPr>
          <w:trHeight w:val="562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2015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-40,5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-21,4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-59,2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-27,8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-24,8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-13,2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Grudzień 2015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-10,5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-53,5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-15,6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-20,8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-6,8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2016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-10,4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-46,6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-16,3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-16,1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-7,6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Grudzień 2016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2,9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-23,4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-1,2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2,8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2017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-1,1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-12,8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-3,9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2,2</w:t>
            </w:r>
          </w:p>
        </w:tc>
      </w:tr>
      <w:tr w:rsidR="00047EAA" w:rsidRPr="00A829E3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A829E3" w:rsidRDefault="00047EAA" w:rsidP="00BF4781">
            <w:pPr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Grudzień 2017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-3,0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-17,5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-6,5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-2,7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-0,1</w:t>
            </w:r>
          </w:p>
        </w:tc>
      </w:tr>
      <w:tr w:rsidR="00A829E3" w:rsidRPr="002D2FBD" w:rsidTr="00A829E3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829E3" w:rsidRPr="002D2FBD" w:rsidRDefault="00A829E3" w:rsidP="00E631B2">
            <w:pPr>
              <w:rPr>
                <w:b/>
                <w:bCs/>
                <w:sz w:val="16"/>
                <w:szCs w:val="16"/>
              </w:rPr>
            </w:pPr>
            <w:r w:rsidRPr="002D2FBD">
              <w:rPr>
                <w:b/>
                <w:bCs/>
                <w:sz w:val="16"/>
                <w:szCs w:val="16"/>
              </w:rPr>
              <w:t>Czerwiec 2018 r.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829E3" w:rsidRPr="002D2FBD" w:rsidRDefault="00A829E3" w:rsidP="00E631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-32,7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829E3" w:rsidRPr="002D2FBD" w:rsidRDefault="00A829E3" w:rsidP="00E631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-22,6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A829E3" w:rsidRPr="002D2FBD" w:rsidRDefault="00A829E3" w:rsidP="00E631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-47,4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A829E3" w:rsidRPr="002D2FBD" w:rsidRDefault="00A829E3" w:rsidP="00E631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-25,9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A829E3" w:rsidRPr="002D2FBD" w:rsidRDefault="00A829E3" w:rsidP="00E631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-15,6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A829E3" w:rsidRPr="002D2FBD" w:rsidRDefault="00A829E3" w:rsidP="00E631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-7,8</w:t>
            </w:r>
          </w:p>
        </w:tc>
      </w:tr>
    </w:tbl>
    <w:p w:rsidR="00B05570" w:rsidRPr="00616B18" w:rsidRDefault="00ED60A6" w:rsidP="00B05570">
      <w:pPr>
        <w:pStyle w:val="Nagwek1"/>
      </w:pPr>
      <w:r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255905</wp:posOffset>
                </wp:positionV>
                <wp:extent cx="1725295" cy="888365"/>
                <wp:effectExtent l="0" t="0" r="0" b="0"/>
                <wp:wrapTight wrapText="bothSides">
                  <wp:wrapPolygon edited="0">
                    <wp:start x="715" y="0"/>
                    <wp:lineTo x="715" y="20843"/>
                    <wp:lineTo x="20749" y="20843"/>
                    <wp:lineTo x="20749" y="0"/>
                    <wp:lineTo x="715" y="0"/>
                  </wp:wrapPolygon>
                </wp:wrapTight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332E9B" w:rsidRDefault="00D053DB" w:rsidP="00B05570">
                            <w:pPr>
                              <w:pStyle w:val="tekstzboku"/>
                            </w:pPr>
                            <w:r>
                              <w:t>Negatywna ocena bieżącej sytuacji ogólnej gospodarstw rolnych</w:t>
                            </w:r>
                          </w:p>
                          <w:p w:rsidR="00D053DB" w:rsidRPr="00D616D2" w:rsidRDefault="00D053DB" w:rsidP="00B05570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2.05pt;margin-top:20.15pt;width:135.85pt;height:69.95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" filled="f" stroked="f">
                <v:textbox>
                  <w:txbxContent>
                    <w:p w:rsidR="00D053DB" w:rsidRPr="00332E9B" w:rsidRDefault="00D053DB" w:rsidP="00B05570">
                      <w:pPr>
                        <w:pStyle w:val="tekstzboku"/>
                      </w:pPr>
                      <w:r>
                        <w:t>Negatywna ocena bieżącej sytuacji ogólnej gospodarstw rolnych</w:t>
                      </w:r>
                    </w:p>
                    <w:p w:rsidR="00D053DB" w:rsidRPr="00D616D2" w:rsidRDefault="00D053DB" w:rsidP="00B05570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05570" w:rsidRPr="00F57295">
        <w:rPr>
          <w:shd w:val="clear" w:color="auto" w:fill="FFFFFF"/>
        </w:rPr>
        <w:t>Ocena sytuacji ogólnej gospodarstw rolnych</w:t>
      </w:r>
    </w:p>
    <w:p w:rsidR="0094233E" w:rsidRPr="00B05570" w:rsidRDefault="00D445A9" w:rsidP="0094233E">
      <w:pPr>
        <w:spacing w:after="240"/>
        <w:jc w:val="both"/>
        <w:rPr>
          <w:szCs w:val="19"/>
        </w:rPr>
      </w:pPr>
      <w:r>
        <w:rPr>
          <w:szCs w:val="19"/>
        </w:rPr>
        <w:t>Niewiele ponad</w:t>
      </w:r>
      <w:r w:rsidR="00C85BC9">
        <w:rPr>
          <w:szCs w:val="19"/>
        </w:rPr>
        <w:t xml:space="preserve"> 61% rolników – </w:t>
      </w:r>
      <w:r>
        <w:rPr>
          <w:szCs w:val="19"/>
        </w:rPr>
        <w:t>o</w:t>
      </w:r>
      <w:r w:rsidR="00C85BC9">
        <w:rPr>
          <w:szCs w:val="19"/>
        </w:rPr>
        <w:t xml:space="preserve"> 26% mniej niż w grudniu ub. r. - uznało bieżącą (czer</w:t>
      </w:r>
      <w:r>
        <w:rPr>
          <w:szCs w:val="19"/>
        </w:rPr>
        <w:t xml:space="preserve">wiec </w:t>
      </w:r>
      <w:r w:rsidR="00C85BC9">
        <w:rPr>
          <w:szCs w:val="19"/>
        </w:rPr>
        <w:t>2018</w:t>
      </w:r>
      <w:r w:rsidR="00B05570" w:rsidRPr="00496AD4">
        <w:rPr>
          <w:szCs w:val="19"/>
        </w:rPr>
        <w:t xml:space="preserve"> r.) </w:t>
      </w:r>
      <w:r w:rsidR="00F4546F">
        <w:rPr>
          <w:szCs w:val="19"/>
        </w:rPr>
        <w:t xml:space="preserve">ogólną </w:t>
      </w:r>
      <w:r w:rsidR="00C85BC9">
        <w:rPr>
          <w:szCs w:val="19"/>
        </w:rPr>
        <w:t xml:space="preserve">sytuację </w:t>
      </w:r>
      <w:r w:rsidR="00B05570" w:rsidRPr="00496AD4">
        <w:rPr>
          <w:szCs w:val="19"/>
        </w:rPr>
        <w:t>swoich go</w:t>
      </w:r>
      <w:r w:rsidR="00E658D5">
        <w:rPr>
          <w:szCs w:val="19"/>
        </w:rPr>
        <w:t xml:space="preserve">spodarstw rolnych jako normalną </w:t>
      </w:r>
      <w:r w:rsidR="00B05570" w:rsidRPr="00496AD4">
        <w:rPr>
          <w:szCs w:val="19"/>
        </w:rPr>
        <w:t>jak na tę porę roku lub do</w:t>
      </w:r>
      <w:r w:rsidR="00C85BC9">
        <w:rPr>
          <w:szCs w:val="19"/>
        </w:rPr>
        <w:t xml:space="preserve">brą. </w:t>
      </w:r>
      <w:r w:rsidR="006B41AE">
        <w:rPr>
          <w:szCs w:val="19"/>
        </w:rPr>
        <w:t>Należy zauważyć, że odn</w:t>
      </w:r>
      <w:r w:rsidR="000D329E">
        <w:rPr>
          <w:szCs w:val="19"/>
        </w:rPr>
        <w:t>o</w:t>
      </w:r>
      <w:r w:rsidR="006B41AE">
        <w:rPr>
          <w:szCs w:val="19"/>
        </w:rPr>
        <w:t xml:space="preserve">towano </w:t>
      </w:r>
      <w:r w:rsidR="000D329E">
        <w:rPr>
          <w:szCs w:val="19"/>
        </w:rPr>
        <w:t>wyraźną przewagę opinii</w:t>
      </w:r>
      <w:r w:rsidR="00C85BC9">
        <w:rPr>
          <w:szCs w:val="19"/>
        </w:rPr>
        <w:t xml:space="preserve"> o złej </w:t>
      </w:r>
      <w:r w:rsidR="00B05570" w:rsidRPr="00496AD4">
        <w:rPr>
          <w:szCs w:val="19"/>
        </w:rPr>
        <w:t>sytuacji gospodarstw rol</w:t>
      </w:r>
      <w:r w:rsidR="000D329E">
        <w:rPr>
          <w:szCs w:val="19"/>
        </w:rPr>
        <w:t>nych</w:t>
      </w:r>
      <w:r w:rsidR="00B05570" w:rsidRPr="00496AD4">
        <w:rPr>
          <w:szCs w:val="19"/>
        </w:rPr>
        <w:t xml:space="preserve"> nad opiniami p</w:t>
      </w:r>
      <w:r w:rsidR="00C2409D">
        <w:rPr>
          <w:szCs w:val="19"/>
        </w:rPr>
        <w:t>rzeciwnymi</w:t>
      </w:r>
      <w:r w:rsidR="000D329E">
        <w:rPr>
          <w:szCs w:val="19"/>
        </w:rPr>
        <w:t xml:space="preserve"> (o </w:t>
      </w:r>
      <w:r w:rsidR="00C2409D">
        <w:rPr>
          <w:szCs w:val="19"/>
        </w:rPr>
        <w:t>31,6</w:t>
      </w:r>
      <w:r w:rsidR="000D329E">
        <w:rPr>
          <w:szCs w:val="19"/>
        </w:rPr>
        <w:t xml:space="preserve"> p. proc</w:t>
      </w:r>
      <w:r w:rsidR="00B05570" w:rsidRPr="00496AD4">
        <w:rPr>
          <w:szCs w:val="19"/>
        </w:rPr>
        <w:t>.</w:t>
      </w:r>
      <w:r w:rsidR="000D329E">
        <w:rPr>
          <w:szCs w:val="19"/>
        </w:rPr>
        <w:t>).</w:t>
      </w:r>
      <w:r w:rsidR="00B05570" w:rsidRPr="00496AD4">
        <w:rPr>
          <w:szCs w:val="19"/>
        </w:rPr>
        <w:t xml:space="preserve"> </w:t>
      </w:r>
    </w:p>
    <w:p w:rsidR="003B756A" w:rsidRPr="003B756A" w:rsidRDefault="00BF24E9" w:rsidP="003B756A">
      <w:pPr>
        <w:pStyle w:val="tytuwykresu"/>
        <w:ind w:left="737" w:hanging="737"/>
        <w:rPr>
          <w:shd w:val="clear" w:color="auto" w:fill="FFFFFF"/>
        </w:rPr>
      </w:pPr>
      <w:r w:rsidRPr="00F57295">
        <w:t>Wykres 4</w:t>
      </w:r>
      <w:r w:rsidR="00196B8E" w:rsidRPr="00F57295">
        <w:t>.</w:t>
      </w:r>
      <w:r w:rsidR="00196B8E" w:rsidRPr="00F57295">
        <w:rPr>
          <w:shd w:val="clear" w:color="auto" w:fill="FFFFFF"/>
        </w:rPr>
        <w:t xml:space="preserve"> </w:t>
      </w:r>
      <w:r w:rsidR="00B05570" w:rsidRPr="00F57295">
        <w:rPr>
          <w:shd w:val="clear" w:color="auto" w:fill="FFFFFF"/>
        </w:rPr>
        <w:t xml:space="preserve">Salda odpowiedzi dotyczące bieżącej </w:t>
      </w:r>
      <w:r w:rsidR="00196B8E" w:rsidRPr="00F57295">
        <w:rPr>
          <w:shd w:val="clear" w:color="auto" w:fill="FFFFFF"/>
        </w:rPr>
        <w:t xml:space="preserve"> sytuacji ogólnej gospodarstw rolnych, opłacalności produkcji rolniczej i popytu na produkty rolne</w:t>
      </w:r>
      <w:r w:rsidR="006B41AE">
        <w:rPr>
          <w:shd w:val="clear" w:color="auto" w:fill="FFFFFF"/>
        </w:rPr>
        <w:t xml:space="preserve"> </w:t>
      </w:r>
      <w:r w:rsidR="003B756A">
        <w:rPr>
          <w:noProof/>
          <w:lang w:eastAsia="pl-PL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387350</wp:posOffset>
            </wp:positionV>
            <wp:extent cx="4962525" cy="252412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935C0A" w:rsidRDefault="00ED60A6" w:rsidP="007B21D4">
      <w:pPr>
        <w:jc w:val="both"/>
        <w:rPr>
          <w:szCs w:val="19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-155575</wp:posOffset>
                </wp:positionV>
                <wp:extent cx="1657350" cy="962025"/>
                <wp:effectExtent l="0" t="0" r="0" b="0"/>
                <wp:wrapNone/>
                <wp:docPr id="2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6202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DB" w:rsidRPr="004A01C6" w:rsidRDefault="00D053DB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>Najmniej pesymistyczni w ocenach byli rolnicy prowadzący chów drobiu rzeźnego i nieśnego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417.75pt;margin-top:-12.25pt;width:130.5pt;height:7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" fillcolor="#f8f8f8" stroked="f">
                <v:textbox>
                  <w:txbxContent>
                    <w:p w:rsidR="00D053DB" w:rsidRPr="004A01C6" w:rsidRDefault="00D053DB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color w:val="001D77"/>
                          <w:sz w:val="18"/>
                          <w:szCs w:val="18"/>
                        </w:rPr>
                        <w:t>Najmniej pesymistyczni w ocenach byli rolnicy prowadzący chów drobiu rzeźnego i nieśnego</w:t>
                      </w:r>
                    </w:p>
                  </w:txbxContent>
                </v:textbox>
              </v:shape>
            </w:pict>
          </mc:Fallback>
        </mc:AlternateContent>
      </w:r>
      <w:r w:rsidR="00DC735B">
        <w:rPr>
          <w:szCs w:val="19"/>
        </w:rPr>
        <w:t>Najmniej pesymistyczn</w:t>
      </w:r>
      <w:r w:rsidR="002971A8">
        <w:rPr>
          <w:szCs w:val="19"/>
        </w:rPr>
        <w:t xml:space="preserve">e </w:t>
      </w:r>
      <w:r w:rsidR="00F37BC8" w:rsidRPr="007B21D4">
        <w:rPr>
          <w:szCs w:val="19"/>
        </w:rPr>
        <w:t>opinie wyrażali użytkow</w:t>
      </w:r>
      <w:r w:rsidR="00F37BC8">
        <w:rPr>
          <w:szCs w:val="19"/>
        </w:rPr>
        <w:t xml:space="preserve">nicy </w:t>
      </w:r>
      <w:r w:rsidR="00901104">
        <w:rPr>
          <w:szCs w:val="19"/>
        </w:rPr>
        <w:t xml:space="preserve">gospodarstw ukierunkowanych na produkcję zwierzęcą, w szczególności prowadzący chów drobiu rzeźnego i nieśnego, a z produkcji roślinnej specjalizujący się w uprawie </w:t>
      </w:r>
      <w:r w:rsidR="00472466">
        <w:rPr>
          <w:szCs w:val="19"/>
        </w:rPr>
        <w:t>warzyw gruntowyc</w:t>
      </w:r>
      <w:r w:rsidR="00966435">
        <w:rPr>
          <w:szCs w:val="19"/>
        </w:rPr>
        <w:t>h,</w:t>
      </w:r>
      <w:r w:rsidR="00966435" w:rsidRPr="00966435">
        <w:rPr>
          <w:szCs w:val="19"/>
        </w:rPr>
        <w:t xml:space="preserve"> </w:t>
      </w:r>
      <w:r w:rsidR="00966435">
        <w:rPr>
          <w:szCs w:val="19"/>
        </w:rPr>
        <w:t>ziemniaków i buraków cukrowych</w:t>
      </w:r>
      <w:r w:rsidR="00472466">
        <w:rPr>
          <w:szCs w:val="19"/>
        </w:rPr>
        <w:t xml:space="preserve">. Z </w:t>
      </w:r>
      <w:r w:rsidR="00F37BC8" w:rsidRPr="007B21D4">
        <w:rPr>
          <w:szCs w:val="19"/>
        </w:rPr>
        <w:t xml:space="preserve">analizy odpowiedzi wynika, że </w:t>
      </w:r>
      <w:r w:rsidR="006E204A">
        <w:rPr>
          <w:szCs w:val="19"/>
        </w:rPr>
        <w:t xml:space="preserve">analogicznie jak w poprzedniej edycji badania, </w:t>
      </w:r>
      <w:r w:rsidR="00F37BC8" w:rsidRPr="007B21D4">
        <w:rPr>
          <w:szCs w:val="19"/>
        </w:rPr>
        <w:t>najgorzej swo</w:t>
      </w:r>
      <w:r w:rsidR="00901104">
        <w:rPr>
          <w:szCs w:val="19"/>
        </w:rPr>
        <w:t>ją sytuację oceni</w:t>
      </w:r>
      <w:r w:rsidR="00F37BC8" w:rsidRPr="007B21D4">
        <w:rPr>
          <w:szCs w:val="19"/>
        </w:rPr>
        <w:t>li rolnicy prowadzący plantacje drzew i krzewów owoco</w:t>
      </w:r>
      <w:r w:rsidR="00901104">
        <w:rPr>
          <w:szCs w:val="19"/>
        </w:rPr>
        <w:t>wych oraz chów świń</w:t>
      </w:r>
      <w:r w:rsidR="00F4452E">
        <w:rPr>
          <w:szCs w:val="19"/>
        </w:rPr>
        <w:t>.</w:t>
      </w:r>
    </w:p>
    <w:p w:rsidR="00935C0A" w:rsidRDefault="00C818FB" w:rsidP="00504DAB">
      <w:pPr>
        <w:pStyle w:val="tytuwykresu"/>
        <w:ind w:left="851" w:hanging="851"/>
        <w:rPr>
          <w:shd w:val="clear" w:color="auto" w:fill="FFFFFF"/>
        </w:rPr>
      </w:pPr>
      <w:r w:rsidRPr="00F57295">
        <w:rPr>
          <w:noProof/>
          <w:lang w:eastAsia="pl-PL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530225</wp:posOffset>
            </wp:positionV>
            <wp:extent cx="5324475" cy="2286000"/>
            <wp:effectExtent l="0" t="0" r="0" b="0"/>
            <wp:wrapSquare wrapText="bothSides"/>
            <wp:docPr id="12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935C0A" w:rsidRPr="00F57295">
        <w:t>Wykres 5.</w:t>
      </w:r>
      <w:r w:rsidR="00935C0A" w:rsidRPr="00F57295">
        <w:rPr>
          <w:shd w:val="clear" w:color="auto" w:fill="FFFFFF"/>
        </w:rPr>
        <w:t xml:space="preserve"> Salda odpowiedzi dla bieżącej sytuacji ogólnej gospodarstw rolnych,  opłacalności pro</w:t>
      </w:r>
      <w:r w:rsidR="003A28A5" w:rsidRPr="00F57295">
        <w:rPr>
          <w:shd w:val="clear" w:color="auto" w:fill="FFFFFF"/>
        </w:rPr>
        <w:t xml:space="preserve">dukcji rolniczej i </w:t>
      </w:r>
      <w:r w:rsidR="00935C0A" w:rsidRPr="00F57295">
        <w:rPr>
          <w:shd w:val="clear" w:color="auto" w:fill="FFFFFF"/>
        </w:rPr>
        <w:t xml:space="preserve"> popytu na produkty rolne</w:t>
      </w:r>
      <w:r>
        <w:rPr>
          <w:shd w:val="clear" w:color="auto" w:fill="FFFFFF"/>
        </w:rPr>
        <w:t xml:space="preserve"> </w:t>
      </w:r>
    </w:p>
    <w:p w:rsidR="00FA0071" w:rsidRDefault="00FA0071" w:rsidP="00AB00B2">
      <w:pPr>
        <w:ind w:left="851" w:hanging="851"/>
        <w:jc w:val="both"/>
        <w:rPr>
          <w:b/>
          <w:sz w:val="18"/>
          <w:szCs w:val="18"/>
        </w:rPr>
      </w:pPr>
    </w:p>
    <w:p w:rsidR="004859EB" w:rsidRPr="00AB00B2" w:rsidRDefault="005E1CE8" w:rsidP="00AB00B2">
      <w:pPr>
        <w:ind w:left="851" w:hanging="851"/>
        <w:jc w:val="both"/>
        <w:rPr>
          <w:b/>
          <w:sz w:val="18"/>
          <w:szCs w:val="18"/>
        </w:rPr>
      </w:pPr>
      <w:r w:rsidRPr="00F57295">
        <w:rPr>
          <w:b/>
          <w:sz w:val="18"/>
          <w:szCs w:val="18"/>
        </w:rPr>
        <w:t>Tablica 2</w:t>
      </w:r>
      <w:r w:rsidR="00AB00B2" w:rsidRPr="00F57295">
        <w:rPr>
          <w:b/>
          <w:sz w:val="18"/>
          <w:szCs w:val="18"/>
        </w:rPr>
        <w:t>. Ocena sytuacji ogólnej gospodarstw rolnych</w:t>
      </w:r>
    </w:p>
    <w:tbl>
      <w:tblPr>
        <w:tblW w:w="8080" w:type="dxa"/>
        <w:tblInd w:w="54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65"/>
        <w:gridCol w:w="1465"/>
        <w:gridCol w:w="1465"/>
        <w:gridCol w:w="1417"/>
      </w:tblGrid>
      <w:tr w:rsidR="00537C37" w:rsidRPr="00B2001F" w:rsidTr="007B21D4">
        <w:trPr>
          <w:trHeight w:val="624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Wyszczególnienie</w:t>
            </w:r>
          </w:p>
          <w:p w:rsidR="00537C37" w:rsidRPr="00B2001F" w:rsidRDefault="00537C37" w:rsidP="00B2001F">
            <w:pPr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Gospodarstwa rolne, których bieżąca sytuacja ogólna była:</w:t>
            </w:r>
          </w:p>
        </w:tc>
        <w:tc>
          <w:tcPr>
            <w:tcW w:w="1417" w:type="dxa"/>
            <w:vMerge w:val="restart"/>
            <w:vAlign w:val="center"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Saldo</w:t>
            </w:r>
          </w:p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odpowiedzi</w:t>
            </w:r>
          </w:p>
          <w:p w:rsidR="00537C37" w:rsidRPr="00B2001F" w:rsidRDefault="00537C37" w:rsidP="00B2001F">
            <w:pPr>
              <w:jc w:val="center"/>
              <w:rPr>
                <w:i/>
                <w:sz w:val="16"/>
                <w:szCs w:val="16"/>
              </w:rPr>
            </w:pPr>
            <w:r w:rsidRPr="00B2001F">
              <w:rPr>
                <w:i/>
                <w:sz w:val="16"/>
                <w:szCs w:val="16"/>
              </w:rPr>
              <w:t>w p. proc.</w:t>
            </w:r>
          </w:p>
        </w:tc>
      </w:tr>
      <w:tr w:rsidR="00537C37" w:rsidRPr="00B2001F" w:rsidTr="007B21D4">
        <w:trPr>
          <w:trHeight w:val="397"/>
        </w:trPr>
        <w:tc>
          <w:tcPr>
            <w:tcW w:w="2268" w:type="dxa"/>
            <w:vMerge/>
            <w:vAlign w:val="center"/>
            <w:hideMark/>
          </w:tcPr>
          <w:p w:rsidR="00537C37" w:rsidRPr="00B2001F" w:rsidRDefault="00537C37" w:rsidP="00B2001F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dobra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FA0071" w:rsidRDefault="00FA0071" w:rsidP="00B2001F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n</w:t>
            </w:r>
            <w:r w:rsidR="00537C37" w:rsidRPr="00B2001F">
              <w:rPr>
                <w:sz w:val="16"/>
                <w:szCs w:val="16"/>
              </w:rPr>
              <w:t>ormalna</w:t>
            </w:r>
            <w:r>
              <w:rPr>
                <w:sz w:val="16"/>
                <w:szCs w:val="16"/>
              </w:rPr>
              <w:t xml:space="preserve"> </w:t>
            </w:r>
            <w:r w:rsidRPr="00FA007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zła</w:t>
            </w:r>
          </w:p>
        </w:tc>
        <w:tc>
          <w:tcPr>
            <w:tcW w:w="1417" w:type="dxa"/>
            <w:vMerge/>
            <w:vAlign w:val="center"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tcBorders>
              <w:bottom w:val="single" w:sz="12" w:space="0" w:color="001D77"/>
            </w:tcBorders>
            <w:shd w:val="clear" w:color="auto" w:fill="auto"/>
            <w:hideMark/>
          </w:tcPr>
          <w:p w:rsidR="00537C37" w:rsidRPr="00B2001F" w:rsidRDefault="00537C37" w:rsidP="00B2001F">
            <w:pPr>
              <w:jc w:val="center"/>
              <w:rPr>
                <w:i/>
                <w:sz w:val="16"/>
                <w:szCs w:val="16"/>
              </w:rPr>
            </w:pPr>
            <w:r w:rsidRPr="00B2001F">
              <w:rPr>
                <w:i/>
                <w:sz w:val="16"/>
                <w:szCs w:val="16"/>
              </w:rPr>
              <w:t xml:space="preserve">w odsetkach </w:t>
            </w:r>
          </w:p>
        </w:tc>
        <w:tc>
          <w:tcPr>
            <w:tcW w:w="1417" w:type="dxa"/>
            <w:vMerge/>
            <w:tcBorders>
              <w:bottom w:val="single" w:sz="12" w:space="0" w:color="001D77"/>
            </w:tcBorders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2013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19,3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58,3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22,4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-3,1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Grudzień 2013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19,6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61,4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19,0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0,6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20,7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62,7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16,6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4,1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Grudzień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15,7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56,7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27,6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-11,9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2015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56,5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34,5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-25,5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Grudzień 2015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7,6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66,0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26,4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-18,8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11,5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65,4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23,1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-11,6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Grudzień 2016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11,8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-0,7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2017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69,4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14,7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1,2</w:t>
            </w:r>
          </w:p>
        </w:tc>
      </w:tr>
      <w:tr w:rsidR="00537C37" w:rsidRPr="00E631B2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E631B2" w:rsidRDefault="00537C37" w:rsidP="00B2001F">
            <w:pPr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 xml:space="preserve">  Grudzień 2017 r.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13,7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73,6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12,7</w:t>
            </w:r>
          </w:p>
        </w:tc>
        <w:tc>
          <w:tcPr>
            <w:tcW w:w="1417" w:type="dxa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1,0</w:t>
            </w:r>
          </w:p>
        </w:tc>
      </w:tr>
      <w:tr w:rsidR="00E631B2" w:rsidRPr="0088436F" w:rsidTr="00E631B2">
        <w:trPr>
          <w:trHeight w:val="315"/>
        </w:trPr>
        <w:tc>
          <w:tcPr>
            <w:tcW w:w="2268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631B2" w:rsidRPr="0088436F" w:rsidRDefault="00E631B2" w:rsidP="00E631B2">
            <w:pPr>
              <w:rPr>
                <w:b/>
                <w:bCs/>
                <w:sz w:val="16"/>
                <w:szCs w:val="16"/>
              </w:rPr>
            </w:pPr>
            <w:r w:rsidRPr="0088436F">
              <w:rPr>
                <w:b/>
                <w:bCs/>
                <w:sz w:val="16"/>
                <w:szCs w:val="16"/>
              </w:rPr>
              <w:t xml:space="preserve">  Czerwiec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631B2" w:rsidRPr="0088436F" w:rsidRDefault="00E631B2" w:rsidP="00E631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631B2" w:rsidRPr="0088436F" w:rsidRDefault="00E631B2" w:rsidP="00E631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54,2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631B2" w:rsidRPr="0088436F" w:rsidRDefault="00E631B2" w:rsidP="00E631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vAlign w:val="bottom"/>
          </w:tcPr>
          <w:p w:rsidR="00E631B2" w:rsidRPr="0088436F" w:rsidRDefault="00E631B2" w:rsidP="00E631B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-31,6</w:t>
            </w:r>
          </w:p>
        </w:tc>
      </w:tr>
    </w:tbl>
    <w:p w:rsidR="00F4452E" w:rsidRPr="00FA0071" w:rsidRDefault="00FA0071" w:rsidP="00FA0071">
      <w:pPr>
        <w:pStyle w:val="tytuwykresu"/>
        <w:rPr>
          <w:b w:val="0"/>
        </w:rPr>
      </w:pPr>
      <w:r w:rsidRPr="00FA0071">
        <w:rPr>
          <w:b w:val="0"/>
          <w:sz w:val="20"/>
          <w:szCs w:val="20"/>
          <w:vertAlign w:val="superscript"/>
        </w:rPr>
        <w:t>a</w:t>
      </w:r>
      <w:r w:rsidRPr="00FA0071">
        <w:rPr>
          <w:b w:val="0"/>
          <w:sz w:val="20"/>
          <w:szCs w:val="20"/>
        </w:rPr>
        <w:t xml:space="preserve"> –</w:t>
      </w:r>
      <w:r w:rsidRPr="00FA0071">
        <w:rPr>
          <w:b w:val="0"/>
        </w:rPr>
        <w:t xml:space="preserve"> </w:t>
      </w:r>
      <w:r w:rsidRPr="00FA0071">
        <w:rPr>
          <w:b w:val="0"/>
          <w:sz w:val="16"/>
          <w:szCs w:val="16"/>
        </w:rPr>
        <w:t>normalna,</w:t>
      </w:r>
      <w:r>
        <w:rPr>
          <w:b w:val="0"/>
        </w:rPr>
        <w:t xml:space="preserve"> </w:t>
      </w:r>
      <w:r w:rsidRPr="00FA0071">
        <w:rPr>
          <w:b w:val="0"/>
          <w:sz w:val="16"/>
          <w:szCs w:val="16"/>
        </w:rPr>
        <w:t>jak na tę porę roku</w:t>
      </w:r>
    </w:p>
    <w:p w:rsidR="00FA0071" w:rsidRDefault="00FA0071" w:rsidP="00074DD8">
      <w:pPr>
        <w:pStyle w:val="tytuwykresu"/>
      </w:pPr>
    </w:p>
    <w:p w:rsidR="00C818FB" w:rsidRDefault="00C818FB" w:rsidP="00074DD8">
      <w:pPr>
        <w:pStyle w:val="tytuwykresu"/>
      </w:pPr>
    </w:p>
    <w:p w:rsidR="00496AD4" w:rsidRDefault="00FB5906" w:rsidP="00074DD8">
      <w:pPr>
        <w:pStyle w:val="tytuwykresu"/>
        <w:rPr>
          <w:shd w:val="clear" w:color="auto" w:fill="FFFFFF"/>
        </w:rPr>
      </w:pPr>
      <w:r w:rsidRPr="00F57295">
        <w:t xml:space="preserve">Wykres </w:t>
      </w:r>
      <w:r w:rsidR="00E11D99" w:rsidRPr="00F57295">
        <w:t>6</w:t>
      </w:r>
      <w:r w:rsidR="008F4441" w:rsidRPr="00F57295">
        <w:t>.</w:t>
      </w:r>
      <w:r w:rsidR="00074DD8" w:rsidRPr="00F57295">
        <w:rPr>
          <w:shd w:val="clear" w:color="auto" w:fill="FFFFFF"/>
        </w:rPr>
        <w:t xml:space="preserve"> </w:t>
      </w:r>
      <w:r w:rsidR="00B173BE" w:rsidRPr="00F57295">
        <w:rPr>
          <w:shd w:val="clear" w:color="auto" w:fill="FFFFFF"/>
        </w:rPr>
        <w:t>S</w:t>
      </w:r>
      <w:r w:rsidR="00496AD4" w:rsidRPr="00F57295">
        <w:rPr>
          <w:shd w:val="clear" w:color="auto" w:fill="FFFFFF"/>
        </w:rPr>
        <w:t>ytuacj</w:t>
      </w:r>
      <w:r w:rsidR="00017C3E" w:rsidRPr="00F57295">
        <w:rPr>
          <w:shd w:val="clear" w:color="auto" w:fill="FFFFFF"/>
        </w:rPr>
        <w:t>a</w:t>
      </w:r>
      <w:r w:rsidR="00496AD4" w:rsidRPr="00F57295">
        <w:rPr>
          <w:shd w:val="clear" w:color="auto" w:fill="FFFFFF"/>
        </w:rPr>
        <w:t xml:space="preserve"> ogóln</w:t>
      </w:r>
      <w:r w:rsidR="00B173BE" w:rsidRPr="00F57295">
        <w:rPr>
          <w:shd w:val="clear" w:color="auto" w:fill="FFFFFF"/>
        </w:rPr>
        <w:t>a</w:t>
      </w:r>
      <w:r w:rsidR="00496AD4" w:rsidRPr="00F57295">
        <w:rPr>
          <w:shd w:val="clear" w:color="auto" w:fill="FFFFFF"/>
        </w:rPr>
        <w:t xml:space="preserve"> gospodarstwa rolnego</w:t>
      </w:r>
      <w:r w:rsidR="001E31B1" w:rsidRPr="00F57295">
        <w:rPr>
          <w:shd w:val="clear" w:color="auto" w:fill="FFFFFF"/>
        </w:rPr>
        <w:t xml:space="preserve"> –zmiany w ostatnim półroczu</w:t>
      </w:r>
      <w:r w:rsidR="00E27753">
        <w:rPr>
          <w:shd w:val="clear" w:color="auto" w:fill="FFFFFF"/>
        </w:rPr>
        <w:t xml:space="preserve"> </w:t>
      </w:r>
    </w:p>
    <w:p w:rsidR="00C818FB" w:rsidRDefault="005E2CC6" w:rsidP="00074DD8">
      <w:pPr>
        <w:pStyle w:val="tytuwykresu"/>
        <w:rPr>
          <w:shd w:val="clear" w:color="auto" w:fill="FFFFFF"/>
        </w:rPr>
      </w:pPr>
      <w:r w:rsidRPr="005E2CC6"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4819650" cy="2438400"/>
            <wp:effectExtent l="0" t="0" r="0" b="0"/>
            <wp:wrapSquare wrapText="bothSides"/>
            <wp:docPr id="13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297D51" w:rsidRDefault="00297D51" w:rsidP="00074DD8">
      <w:pPr>
        <w:pStyle w:val="tytuwykresu"/>
        <w:rPr>
          <w:shd w:val="clear" w:color="auto" w:fill="FFFFFF"/>
        </w:rPr>
      </w:pPr>
    </w:p>
    <w:p w:rsidR="00014F19" w:rsidRDefault="00014F19" w:rsidP="006D19C3">
      <w:pPr>
        <w:pStyle w:val="tytuwykresu"/>
        <w:rPr>
          <w:shd w:val="clear" w:color="auto" w:fill="FFFFFF"/>
        </w:rPr>
      </w:pPr>
      <w:r w:rsidRPr="00F57295">
        <w:t xml:space="preserve">Wykres </w:t>
      </w:r>
      <w:r w:rsidR="00E11D99" w:rsidRPr="00F57295">
        <w:t>7</w:t>
      </w:r>
      <w:r w:rsidRPr="00F57295">
        <w:t>.</w:t>
      </w:r>
      <w:r w:rsidRPr="00F57295">
        <w:rPr>
          <w:shd w:val="clear" w:color="auto" w:fill="FFFFFF"/>
        </w:rPr>
        <w:t xml:space="preserve"> </w:t>
      </w:r>
      <w:r w:rsidR="00B173BE" w:rsidRPr="00F57295">
        <w:rPr>
          <w:shd w:val="clear" w:color="auto" w:fill="FFFFFF"/>
        </w:rPr>
        <w:t>S</w:t>
      </w:r>
      <w:r w:rsidRPr="00F57295">
        <w:rPr>
          <w:shd w:val="clear" w:color="auto" w:fill="FFFFFF"/>
        </w:rPr>
        <w:t>ytuacj</w:t>
      </w:r>
      <w:r w:rsidR="00B173BE" w:rsidRPr="00F57295">
        <w:rPr>
          <w:shd w:val="clear" w:color="auto" w:fill="FFFFFF"/>
        </w:rPr>
        <w:t>a</w:t>
      </w:r>
      <w:r w:rsidRPr="00F57295">
        <w:rPr>
          <w:shd w:val="clear" w:color="auto" w:fill="FFFFFF"/>
        </w:rPr>
        <w:t xml:space="preserve"> ogóln</w:t>
      </w:r>
      <w:r w:rsidR="00B173BE" w:rsidRPr="00F57295">
        <w:rPr>
          <w:shd w:val="clear" w:color="auto" w:fill="FFFFFF"/>
        </w:rPr>
        <w:t>a</w:t>
      </w:r>
      <w:r w:rsidRPr="00F57295">
        <w:rPr>
          <w:shd w:val="clear" w:color="auto" w:fill="FFFFFF"/>
        </w:rPr>
        <w:t xml:space="preserve"> gospodarstwa rolnego –sytuacja bieżąca</w:t>
      </w:r>
    </w:p>
    <w:p w:rsidR="009130C6" w:rsidRPr="001E6579" w:rsidRDefault="001E6579" w:rsidP="001E6579">
      <w:pPr>
        <w:pStyle w:val="tytuwykresu"/>
        <w:rPr>
          <w:shd w:val="clear" w:color="auto" w:fill="FFFFFF"/>
        </w:rPr>
      </w:pPr>
      <w:r w:rsidRPr="001E6579"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152400</wp:posOffset>
            </wp:positionV>
            <wp:extent cx="4810125" cy="2438400"/>
            <wp:effectExtent l="0" t="0" r="0" b="0"/>
            <wp:wrapSquare wrapText="bothSides"/>
            <wp:docPr id="14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D445A9" w:rsidRDefault="00D445A9" w:rsidP="006D19C3">
      <w:pPr>
        <w:pStyle w:val="tytuwykresu"/>
      </w:pPr>
    </w:p>
    <w:p w:rsidR="009130C6" w:rsidRDefault="006D19C3" w:rsidP="006D19C3">
      <w:pPr>
        <w:pStyle w:val="tytuwykresu"/>
        <w:rPr>
          <w:shd w:val="clear" w:color="auto" w:fill="FFFFFF"/>
        </w:rPr>
      </w:pPr>
      <w:r w:rsidRPr="00F57295">
        <w:t xml:space="preserve">Wykres </w:t>
      </w:r>
      <w:r w:rsidR="00E11D99" w:rsidRPr="00F57295">
        <w:t>8</w:t>
      </w:r>
      <w:r w:rsidRPr="00F57295">
        <w:t>.</w:t>
      </w:r>
      <w:r w:rsidRPr="00F57295">
        <w:rPr>
          <w:shd w:val="clear" w:color="auto" w:fill="FFFFFF"/>
        </w:rPr>
        <w:t xml:space="preserve"> Sytuacja ogólna gospodarstwa rolnego –zmiany w najbliższym półroczu</w:t>
      </w:r>
    </w:p>
    <w:p w:rsidR="009B5F4B" w:rsidRDefault="00D445A9" w:rsidP="00D445A9">
      <w:pPr>
        <w:pStyle w:val="tytuwykresu"/>
        <w:rPr>
          <w:shd w:val="clear" w:color="auto" w:fill="FFFFFF"/>
        </w:rPr>
      </w:pPr>
      <w:r w:rsidRPr="00D445A9"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190500</wp:posOffset>
            </wp:positionV>
            <wp:extent cx="4791075" cy="2438400"/>
            <wp:effectExtent l="0" t="0" r="0" b="0"/>
            <wp:wrapSquare wrapText="bothSides"/>
            <wp:docPr id="15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725C27" w:rsidRPr="00616B18" w:rsidRDefault="00ED60A6" w:rsidP="00725C27">
      <w:pPr>
        <w:pStyle w:val="Nagwek1"/>
      </w:pPr>
      <w:r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111125</wp:posOffset>
                </wp:positionV>
                <wp:extent cx="1725295" cy="600075"/>
                <wp:effectExtent l="0" t="0" r="0" b="0"/>
                <wp:wrapTight wrapText="bothSides">
                  <wp:wrapPolygon edited="0">
                    <wp:start x="715" y="0"/>
                    <wp:lineTo x="715" y="20571"/>
                    <wp:lineTo x="20749" y="20571"/>
                    <wp:lineTo x="20749" y="0"/>
                    <wp:lineTo x="715" y="0"/>
                  </wp:wrapPolygon>
                </wp:wrapTight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332E9B" w:rsidRDefault="00D053DB" w:rsidP="00725C27">
                            <w:pPr>
                              <w:pStyle w:val="tekstzboku"/>
                            </w:pPr>
                            <w:r>
                              <w:t>Negatywna ocena bieżącej produkcji rolniczej</w:t>
                            </w:r>
                          </w:p>
                          <w:p w:rsidR="00D053DB" w:rsidRPr="00D616D2" w:rsidRDefault="00D053DB" w:rsidP="00725C27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7.3pt;margin-top:8.75pt;width:135.85pt;height:47.2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" filled="f" stroked="f">
                <v:textbox>
                  <w:txbxContent>
                    <w:p w:rsidR="00D053DB" w:rsidRPr="00332E9B" w:rsidRDefault="00D053DB" w:rsidP="00725C27">
                      <w:pPr>
                        <w:pStyle w:val="tekstzboku"/>
                      </w:pPr>
                      <w:r>
                        <w:t>Negatywna ocena bieżącej produkcji rolniczej</w:t>
                      </w:r>
                    </w:p>
                    <w:p w:rsidR="00D053DB" w:rsidRPr="00D616D2" w:rsidRDefault="00D053DB" w:rsidP="00725C2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25C27" w:rsidRPr="00F57295">
        <w:rPr>
          <w:shd w:val="clear" w:color="auto" w:fill="FFFFFF"/>
        </w:rPr>
        <w:t>Ocena opłacalności produkcji rolniczej</w:t>
      </w:r>
    </w:p>
    <w:p w:rsidR="0073435A" w:rsidRDefault="00ED60A6" w:rsidP="00AB489B">
      <w:pPr>
        <w:jc w:val="both"/>
        <w:rPr>
          <w:szCs w:val="19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421640</wp:posOffset>
                </wp:positionV>
                <wp:extent cx="1725295" cy="1238250"/>
                <wp:effectExtent l="0" t="0" r="0" b="0"/>
                <wp:wrapTight wrapText="bothSides">
                  <wp:wrapPolygon edited="0">
                    <wp:start x="715" y="0"/>
                    <wp:lineTo x="715" y="21268"/>
                    <wp:lineTo x="20749" y="21268"/>
                    <wp:lineTo x="20749" y="0"/>
                    <wp:lineTo x="715" y="0"/>
                  </wp:wrapPolygon>
                </wp:wrapTight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D616D2" w:rsidRDefault="00D053DB" w:rsidP="004A77B7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 xml:space="preserve">Pozytywną opinię o opłacalności produkcji rolniczej odnotowano jedynie wśród rolników specjalizujących się w chowie drobiu, bydła mlecznego oraz prowadzących uprawy pod osłonami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17.3pt;margin-top:33.2pt;width:135.85pt;height:97.5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" filled="f" stroked="f">
                <v:textbox>
                  <w:txbxContent>
                    <w:p w:rsidR="00D053DB" w:rsidRPr="00D616D2" w:rsidRDefault="00D053DB" w:rsidP="004A77B7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 xml:space="preserve">Pozytywną opinię o opłacalności produkcji rolniczej odnotowano jedynie wśród rolników specjalizujących się w chowie drobiu, bydła mlecznego oraz prowadzących uprawy pod osłonami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E187F">
        <w:rPr>
          <w:szCs w:val="19"/>
        </w:rPr>
        <w:t>W porównaniu do wyników poprzedniej edycji badania, r</w:t>
      </w:r>
      <w:r w:rsidR="00AB489B" w:rsidRPr="00725C27">
        <w:rPr>
          <w:szCs w:val="19"/>
        </w:rPr>
        <w:t>oln</w:t>
      </w:r>
      <w:r w:rsidR="00472466">
        <w:rPr>
          <w:szCs w:val="19"/>
        </w:rPr>
        <w:t>icy</w:t>
      </w:r>
      <w:r w:rsidR="000E187F">
        <w:rPr>
          <w:szCs w:val="19"/>
        </w:rPr>
        <w:t xml:space="preserve"> negatywnie ocenili bieżącą (czerwiec 2018</w:t>
      </w:r>
      <w:r w:rsidR="00AB489B" w:rsidRPr="00725C27">
        <w:rPr>
          <w:szCs w:val="19"/>
        </w:rPr>
        <w:t xml:space="preserve"> r.) op</w:t>
      </w:r>
      <w:r w:rsidR="00AB489B">
        <w:rPr>
          <w:szCs w:val="19"/>
        </w:rPr>
        <w:t xml:space="preserve">łacalność produkcji rolniczej. </w:t>
      </w:r>
      <w:r w:rsidR="000E187F">
        <w:rPr>
          <w:szCs w:val="19"/>
        </w:rPr>
        <w:t>Saldo odpowiedzi zdecydowanie pogorszyło się i wynosiło minus 21,6 p. proc. wobec plus 2,5 p. proc. w grudniu 2017 r.</w:t>
      </w:r>
    </w:p>
    <w:p w:rsidR="0073435A" w:rsidRPr="00725C27" w:rsidRDefault="000E187F" w:rsidP="0073435A">
      <w:pPr>
        <w:jc w:val="both"/>
        <w:rPr>
          <w:rFonts w:ascii="Times New Roman" w:hAnsi="Times New Roman"/>
          <w:sz w:val="24"/>
          <w:szCs w:val="24"/>
        </w:rPr>
      </w:pPr>
      <w:r>
        <w:rPr>
          <w:szCs w:val="19"/>
        </w:rPr>
        <w:t>Najmniej pesymistyczni</w:t>
      </w:r>
      <w:r w:rsidR="0073435A">
        <w:rPr>
          <w:szCs w:val="19"/>
        </w:rPr>
        <w:t xml:space="preserve"> w ocenie opłacalności </w:t>
      </w:r>
      <w:r w:rsidR="009D0204">
        <w:rPr>
          <w:szCs w:val="19"/>
        </w:rPr>
        <w:t xml:space="preserve">produkcji </w:t>
      </w:r>
      <w:r w:rsidR="0073435A">
        <w:rPr>
          <w:szCs w:val="19"/>
        </w:rPr>
        <w:t>rolniczej</w:t>
      </w:r>
      <w:r w:rsidR="0073435A" w:rsidRPr="00AB00B2">
        <w:rPr>
          <w:szCs w:val="19"/>
        </w:rPr>
        <w:t xml:space="preserve">, podobnie jak w ocenie sytuacji ogólnej, byli użytkownicy gospodarstw ukierunkowanych na produkcję zwierzęcą. </w:t>
      </w:r>
      <w:r>
        <w:rPr>
          <w:szCs w:val="19"/>
        </w:rPr>
        <w:br/>
        <w:t>W czerwcu br</w:t>
      </w:r>
      <w:r w:rsidR="009D0204">
        <w:rPr>
          <w:szCs w:val="19"/>
        </w:rPr>
        <w:t xml:space="preserve">. </w:t>
      </w:r>
      <w:r>
        <w:rPr>
          <w:szCs w:val="19"/>
        </w:rPr>
        <w:t>około 13</w:t>
      </w:r>
      <w:r w:rsidR="0073435A" w:rsidRPr="00AB00B2">
        <w:rPr>
          <w:szCs w:val="19"/>
        </w:rPr>
        <w:t xml:space="preserve">% respondentów stwierdziło, że prowadzenie produkcji rolniczej jest opłacalne. </w:t>
      </w:r>
      <w:r w:rsidR="00AA6402">
        <w:rPr>
          <w:szCs w:val="19"/>
        </w:rPr>
        <w:t>Przewagę opinii pozytywnych nad negatywnymi odnotowano dla u</w:t>
      </w:r>
      <w:r w:rsidR="0073435A" w:rsidRPr="00AB00B2">
        <w:rPr>
          <w:szCs w:val="19"/>
        </w:rPr>
        <w:t>żytkowni</w:t>
      </w:r>
      <w:r w:rsidR="00AA6402">
        <w:rPr>
          <w:szCs w:val="19"/>
        </w:rPr>
        <w:t>ków</w:t>
      </w:r>
      <w:r w:rsidR="0073435A" w:rsidRPr="00AB00B2">
        <w:rPr>
          <w:szCs w:val="19"/>
        </w:rPr>
        <w:t xml:space="preserve"> gospodarstw rolnych specjalizujący się w chowie </w:t>
      </w:r>
      <w:r>
        <w:rPr>
          <w:szCs w:val="19"/>
        </w:rPr>
        <w:t>drobiu rze</w:t>
      </w:r>
      <w:r w:rsidR="00AA6402">
        <w:rPr>
          <w:szCs w:val="19"/>
        </w:rPr>
        <w:t>ź</w:t>
      </w:r>
      <w:r>
        <w:rPr>
          <w:szCs w:val="19"/>
        </w:rPr>
        <w:t>nego i nie</w:t>
      </w:r>
      <w:r w:rsidR="00AA6402">
        <w:rPr>
          <w:szCs w:val="19"/>
        </w:rPr>
        <w:t>ś</w:t>
      </w:r>
      <w:r>
        <w:rPr>
          <w:szCs w:val="19"/>
        </w:rPr>
        <w:t xml:space="preserve">nego oraz </w:t>
      </w:r>
      <w:r w:rsidR="0073435A" w:rsidRPr="00AB00B2">
        <w:rPr>
          <w:szCs w:val="19"/>
        </w:rPr>
        <w:t>bydła mlecznego</w:t>
      </w:r>
      <w:r>
        <w:rPr>
          <w:szCs w:val="19"/>
        </w:rPr>
        <w:t xml:space="preserve">. </w:t>
      </w:r>
      <w:r w:rsidR="00AA6402">
        <w:rPr>
          <w:szCs w:val="19"/>
        </w:rPr>
        <w:t xml:space="preserve"> </w:t>
      </w:r>
      <w:r w:rsidR="0073435A" w:rsidRPr="00AB00B2">
        <w:rPr>
          <w:szCs w:val="19"/>
        </w:rPr>
        <w:t>Pozytywne opinie o opłacalności produkcji rolniczej przeważały również u rolników prowadzących uprawy pod osłonami</w:t>
      </w:r>
      <w:r w:rsidR="00AA6402">
        <w:rPr>
          <w:szCs w:val="19"/>
        </w:rPr>
        <w:t>.</w:t>
      </w:r>
      <w:r w:rsidR="0073435A" w:rsidRPr="00AB00B2">
        <w:rPr>
          <w:szCs w:val="19"/>
        </w:rPr>
        <w:t xml:space="preserve"> Najbardziej pesymistyczni w swoich ocenach byli rolnicy prowadzący plantacje drzew i krzewów owocowych oraz prowadzący chów świń.</w:t>
      </w:r>
    </w:p>
    <w:p w:rsidR="0073435A" w:rsidRPr="00725C27" w:rsidRDefault="0073435A" w:rsidP="00AB489B">
      <w:pPr>
        <w:jc w:val="both"/>
        <w:rPr>
          <w:rFonts w:ascii="Times New Roman" w:hAnsi="Times New Roman"/>
          <w:sz w:val="24"/>
          <w:szCs w:val="24"/>
        </w:rPr>
      </w:pPr>
    </w:p>
    <w:p w:rsidR="00F449E3" w:rsidRPr="00AB00B2" w:rsidRDefault="005E1CE8" w:rsidP="00F449E3">
      <w:pPr>
        <w:ind w:left="851" w:hanging="851"/>
        <w:jc w:val="both"/>
        <w:rPr>
          <w:b/>
          <w:sz w:val="18"/>
          <w:szCs w:val="18"/>
        </w:rPr>
      </w:pPr>
      <w:r w:rsidRPr="00F57295">
        <w:rPr>
          <w:b/>
          <w:sz w:val="18"/>
          <w:szCs w:val="18"/>
        </w:rPr>
        <w:t>Tablica 3</w:t>
      </w:r>
      <w:r w:rsidR="00804F03" w:rsidRPr="00F57295">
        <w:rPr>
          <w:b/>
          <w:sz w:val="18"/>
          <w:szCs w:val="18"/>
        </w:rPr>
        <w:t>. Ocena opłacalności produkcji rolniczej</w:t>
      </w:r>
    </w:p>
    <w:tbl>
      <w:tblPr>
        <w:tblW w:w="8080" w:type="dxa"/>
        <w:tblInd w:w="54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65"/>
        <w:gridCol w:w="1465"/>
        <w:gridCol w:w="1465"/>
        <w:gridCol w:w="1417"/>
      </w:tblGrid>
      <w:tr w:rsidR="00F449E3" w:rsidRPr="00F449E3" w:rsidTr="00F449E3">
        <w:trPr>
          <w:trHeight w:val="567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Wyszczególnienie</w:t>
            </w:r>
          </w:p>
          <w:p w:rsidR="00804F03" w:rsidRPr="00F449E3" w:rsidRDefault="00804F03" w:rsidP="00F449E3">
            <w:pPr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  <w:hideMark/>
          </w:tcPr>
          <w:p w:rsidR="00804F03" w:rsidRPr="00F449E3" w:rsidRDefault="00804F03" w:rsidP="00FA0C2B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Gospodarstwa rolne, w których bieżąca produkcja </w:t>
            </w:r>
            <w:r w:rsidR="00FA0C2B">
              <w:rPr>
                <w:sz w:val="16"/>
                <w:szCs w:val="16"/>
              </w:rPr>
              <w:t xml:space="preserve">rolnicza </w:t>
            </w:r>
            <w:r w:rsidRPr="00F449E3">
              <w:rPr>
                <w:sz w:val="16"/>
                <w:szCs w:val="16"/>
              </w:rPr>
              <w:t>była:</w:t>
            </w:r>
          </w:p>
        </w:tc>
        <w:tc>
          <w:tcPr>
            <w:tcW w:w="1417" w:type="dxa"/>
            <w:vMerge w:val="restart"/>
            <w:vAlign w:val="center"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Saldo</w:t>
            </w:r>
          </w:p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odpowiedzi</w:t>
            </w:r>
          </w:p>
          <w:p w:rsidR="00804F03" w:rsidRPr="00F449E3" w:rsidRDefault="00804F03" w:rsidP="00F449E3">
            <w:pPr>
              <w:jc w:val="center"/>
              <w:rPr>
                <w:i/>
                <w:sz w:val="16"/>
                <w:szCs w:val="16"/>
              </w:rPr>
            </w:pPr>
            <w:r w:rsidRPr="00F449E3">
              <w:rPr>
                <w:i/>
                <w:sz w:val="16"/>
                <w:szCs w:val="16"/>
              </w:rPr>
              <w:t>w p. proc.</w:t>
            </w:r>
          </w:p>
        </w:tc>
      </w:tr>
      <w:tr w:rsidR="00F449E3" w:rsidRPr="00F449E3" w:rsidTr="00F449E3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opłacalna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brak</w:t>
            </w:r>
          </w:p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zdecydowanej opinii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nieopłacalna</w:t>
            </w:r>
          </w:p>
        </w:tc>
        <w:tc>
          <w:tcPr>
            <w:tcW w:w="1417" w:type="dxa"/>
            <w:vMerge/>
            <w:vAlign w:val="center"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tcBorders>
              <w:bottom w:val="single" w:sz="12" w:space="0" w:color="001D77"/>
            </w:tcBorders>
            <w:shd w:val="clear" w:color="auto" w:fill="auto"/>
            <w:hideMark/>
          </w:tcPr>
          <w:p w:rsidR="00804F03" w:rsidRPr="00F449E3" w:rsidRDefault="00804F03" w:rsidP="00F449E3">
            <w:pPr>
              <w:jc w:val="center"/>
              <w:rPr>
                <w:i/>
                <w:sz w:val="16"/>
                <w:szCs w:val="16"/>
              </w:rPr>
            </w:pPr>
            <w:r w:rsidRPr="00F449E3">
              <w:rPr>
                <w:i/>
                <w:sz w:val="16"/>
                <w:szCs w:val="16"/>
              </w:rPr>
              <w:t xml:space="preserve">w odsetkach </w:t>
            </w:r>
          </w:p>
        </w:tc>
        <w:tc>
          <w:tcPr>
            <w:tcW w:w="1417" w:type="dxa"/>
            <w:vMerge/>
            <w:tcBorders>
              <w:bottom w:val="single" w:sz="12" w:space="0" w:color="001D77"/>
            </w:tcBorders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 xml:space="preserve">  Czerwiec 2013 r.</w:t>
            </w:r>
          </w:p>
        </w:tc>
        <w:tc>
          <w:tcPr>
            <w:tcW w:w="1465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17,2</w:t>
            </w:r>
          </w:p>
        </w:tc>
        <w:tc>
          <w:tcPr>
            <w:tcW w:w="1465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56,1</w:t>
            </w:r>
          </w:p>
        </w:tc>
        <w:tc>
          <w:tcPr>
            <w:tcW w:w="1465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26,7</w:t>
            </w:r>
          </w:p>
        </w:tc>
        <w:tc>
          <w:tcPr>
            <w:tcW w:w="1417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-9,5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tcBorders>
              <w:top w:val="single" w:sz="4" w:space="0" w:color="001D77"/>
            </w:tcBorders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Grudzień 2013 r.</w:t>
            </w:r>
          </w:p>
        </w:tc>
        <w:tc>
          <w:tcPr>
            <w:tcW w:w="1465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18,2</w:t>
            </w:r>
          </w:p>
        </w:tc>
        <w:tc>
          <w:tcPr>
            <w:tcW w:w="1465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59,3</w:t>
            </w:r>
          </w:p>
        </w:tc>
        <w:tc>
          <w:tcPr>
            <w:tcW w:w="1465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001D77"/>
            </w:tcBorders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-4,3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 xml:space="preserve">  Czerwiec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18,7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58,2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23,1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-4,4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Grudzień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11,0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53,7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35,3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-24,3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 xml:space="preserve">  Czerwiec 2015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9,6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47,3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43,1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-33,5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Grudzień 2015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10,1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49,6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40,3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-30,2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Czerwiec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53,6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32,9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-19,4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Grudzień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18,7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60,1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21,2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-2,5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Czerwiec 2017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23,3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58,7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18,0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5,3</w:t>
            </w:r>
          </w:p>
        </w:tc>
      </w:tr>
      <w:tr w:rsidR="00F449E3" w:rsidRPr="00CE430C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CE430C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CE430C">
              <w:rPr>
                <w:sz w:val="16"/>
                <w:szCs w:val="16"/>
              </w:rPr>
              <w:t xml:space="preserve">  Grudzień 2017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58,5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19,5</w:t>
            </w:r>
          </w:p>
        </w:tc>
        <w:tc>
          <w:tcPr>
            <w:tcW w:w="1417" w:type="dxa"/>
            <w:vAlign w:val="center"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2,5</w:t>
            </w:r>
          </w:p>
        </w:tc>
      </w:tr>
      <w:tr w:rsidR="00CE430C" w:rsidRPr="00EA361B" w:rsidTr="00CE430C">
        <w:trPr>
          <w:trHeight w:val="315"/>
        </w:trPr>
        <w:tc>
          <w:tcPr>
            <w:tcW w:w="2268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:rsidR="00CE430C" w:rsidRPr="00EA361B" w:rsidRDefault="00CE430C" w:rsidP="00C95AD2">
            <w:pPr>
              <w:pStyle w:val="Akapitzlist"/>
              <w:ind w:left="0"/>
              <w:rPr>
                <w:b/>
                <w:sz w:val="16"/>
                <w:szCs w:val="16"/>
              </w:rPr>
            </w:pPr>
            <w:r w:rsidRPr="00EA361B">
              <w:rPr>
                <w:b/>
                <w:sz w:val="16"/>
                <w:szCs w:val="16"/>
              </w:rPr>
              <w:t xml:space="preserve">  Czerwiec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CE430C" w:rsidRPr="00EA361B" w:rsidRDefault="00CE430C" w:rsidP="00C95AD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CE430C" w:rsidRPr="00EA361B" w:rsidRDefault="00CE430C" w:rsidP="00C95AD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CE430C" w:rsidRPr="00EA361B" w:rsidRDefault="00CE430C" w:rsidP="00C95AD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CE430C" w:rsidRPr="00EA361B" w:rsidRDefault="00CE430C" w:rsidP="00C95AD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-21,6</w:t>
            </w:r>
          </w:p>
        </w:tc>
      </w:tr>
    </w:tbl>
    <w:p w:rsidR="00AB00B2" w:rsidRDefault="00AB00B2" w:rsidP="00AB00B2">
      <w:pPr>
        <w:jc w:val="both"/>
        <w:rPr>
          <w:szCs w:val="19"/>
        </w:rPr>
      </w:pPr>
    </w:p>
    <w:p w:rsidR="00AB00B2" w:rsidRDefault="00AB00B2" w:rsidP="00AB00B2">
      <w:pPr>
        <w:jc w:val="both"/>
        <w:rPr>
          <w:szCs w:val="19"/>
        </w:rPr>
      </w:pPr>
    </w:p>
    <w:p w:rsidR="00AB00B2" w:rsidRDefault="00AB00B2" w:rsidP="00AB00B2">
      <w:pPr>
        <w:jc w:val="both"/>
        <w:rPr>
          <w:szCs w:val="19"/>
        </w:rPr>
      </w:pPr>
    </w:p>
    <w:p w:rsidR="00725C27" w:rsidRDefault="00725C27" w:rsidP="00725C27">
      <w:pPr>
        <w:rPr>
          <w:b/>
          <w:spacing w:val="-2"/>
          <w:sz w:val="18"/>
        </w:rPr>
      </w:pPr>
    </w:p>
    <w:p w:rsidR="0073435A" w:rsidRDefault="0073435A" w:rsidP="00725C27">
      <w:pPr>
        <w:rPr>
          <w:b/>
          <w:spacing w:val="-2"/>
          <w:sz w:val="18"/>
        </w:rPr>
      </w:pPr>
    </w:p>
    <w:p w:rsidR="0073435A" w:rsidRDefault="0073435A" w:rsidP="00725C27">
      <w:pPr>
        <w:rPr>
          <w:b/>
          <w:spacing w:val="-2"/>
          <w:sz w:val="18"/>
        </w:rPr>
      </w:pPr>
    </w:p>
    <w:p w:rsidR="0073435A" w:rsidRDefault="0073435A" w:rsidP="00725C27">
      <w:pPr>
        <w:rPr>
          <w:b/>
          <w:spacing w:val="-2"/>
          <w:sz w:val="18"/>
        </w:rPr>
      </w:pPr>
    </w:p>
    <w:p w:rsidR="00AA6402" w:rsidRDefault="00AA6402" w:rsidP="00725C27">
      <w:pPr>
        <w:rPr>
          <w:b/>
          <w:spacing w:val="-2"/>
          <w:sz w:val="18"/>
        </w:rPr>
      </w:pPr>
    </w:p>
    <w:p w:rsidR="0073435A" w:rsidRPr="00BF4781" w:rsidRDefault="0073435A" w:rsidP="00725C27">
      <w:pPr>
        <w:rPr>
          <w:b/>
          <w:spacing w:val="-2"/>
          <w:sz w:val="18"/>
        </w:rPr>
      </w:pPr>
    </w:p>
    <w:p w:rsidR="00725C27" w:rsidRDefault="00725C27" w:rsidP="00725C27">
      <w:pPr>
        <w:pStyle w:val="tytuwykresu"/>
        <w:rPr>
          <w:shd w:val="clear" w:color="auto" w:fill="FFFFFF"/>
        </w:rPr>
      </w:pPr>
      <w:r w:rsidRPr="00F57295">
        <w:t xml:space="preserve">Wykres </w:t>
      </w:r>
      <w:r w:rsidR="00E11D99" w:rsidRPr="00F57295">
        <w:t>9</w:t>
      </w:r>
      <w:r w:rsidRPr="00F57295">
        <w:t>.</w:t>
      </w:r>
      <w:r w:rsidRPr="00F57295">
        <w:rPr>
          <w:shd w:val="clear" w:color="auto" w:fill="FFFFFF"/>
        </w:rPr>
        <w:t xml:space="preserve"> Opłacalność produkcji rolniczej –zmiany w ostatnim półroczu</w:t>
      </w:r>
    </w:p>
    <w:p w:rsidR="000D08DE" w:rsidRDefault="00EA7820" w:rsidP="00725C27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73025</wp:posOffset>
            </wp:positionV>
            <wp:extent cx="4762500" cy="2438400"/>
            <wp:effectExtent l="0" t="0" r="0" b="0"/>
            <wp:wrapSquare wrapText="bothSides"/>
            <wp:docPr id="16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0D08DE" w:rsidRPr="00014F19" w:rsidRDefault="000D08DE" w:rsidP="00725C27">
      <w:pPr>
        <w:pStyle w:val="tytuwykresu"/>
        <w:rPr>
          <w:shd w:val="clear" w:color="auto" w:fill="FFFFFF"/>
        </w:rPr>
      </w:pPr>
    </w:p>
    <w:p w:rsidR="0052171B" w:rsidRDefault="0052171B" w:rsidP="0052171B">
      <w:pPr>
        <w:pStyle w:val="tytuwykresu"/>
        <w:rPr>
          <w:shd w:val="clear" w:color="auto" w:fill="FFFFFF"/>
        </w:rPr>
      </w:pPr>
      <w:r w:rsidRPr="00F57295">
        <w:t xml:space="preserve">Wykres </w:t>
      </w:r>
      <w:r w:rsidR="00E11D99" w:rsidRPr="00F57295">
        <w:t>10</w:t>
      </w:r>
      <w:r w:rsidRPr="00F57295">
        <w:t>.</w:t>
      </w:r>
      <w:r w:rsidRPr="00F57295">
        <w:rPr>
          <w:shd w:val="clear" w:color="auto" w:fill="FFFFFF"/>
        </w:rPr>
        <w:t xml:space="preserve"> Opłacalność produkcji rolniczej –ocena bieżąca</w:t>
      </w:r>
    </w:p>
    <w:p w:rsidR="00EA7820" w:rsidRDefault="00EA7820" w:rsidP="0052171B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238125</wp:posOffset>
            </wp:positionV>
            <wp:extent cx="4791075" cy="2438400"/>
            <wp:effectExtent l="0" t="0" r="0" b="0"/>
            <wp:wrapSquare wrapText="bothSides"/>
            <wp:docPr id="17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9B5D2C" w:rsidRDefault="009B5D2C" w:rsidP="0052171B">
      <w:pPr>
        <w:pStyle w:val="tytuwykresu"/>
      </w:pPr>
    </w:p>
    <w:p w:rsidR="009B5F4B" w:rsidRDefault="009B5F4B" w:rsidP="0052171B">
      <w:pPr>
        <w:pStyle w:val="tytuwykresu"/>
      </w:pPr>
    </w:p>
    <w:p w:rsidR="0052171B" w:rsidRDefault="0052171B" w:rsidP="0052171B">
      <w:pPr>
        <w:pStyle w:val="tytuwykresu"/>
        <w:rPr>
          <w:shd w:val="clear" w:color="auto" w:fill="FFFFFF"/>
        </w:rPr>
      </w:pPr>
      <w:r w:rsidRPr="00F57295">
        <w:t xml:space="preserve">Wykres </w:t>
      </w:r>
      <w:r w:rsidR="00E11D99" w:rsidRPr="00F57295">
        <w:t>11</w:t>
      </w:r>
      <w:r w:rsidRPr="00F57295">
        <w:t>.</w:t>
      </w:r>
      <w:r w:rsidRPr="00F57295">
        <w:rPr>
          <w:shd w:val="clear" w:color="auto" w:fill="FFFFFF"/>
        </w:rPr>
        <w:t xml:space="preserve"> Opłacalność produkcji rolniczej – zmiany w najbliższym półroczu</w:t>
      </w:r>
    </w:p>
    <w:p w:rsidR="00EA7820" w:rsidRDefault="00EA7820" w:rsidP="0052171B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180975</wp:posOffset>
            </wp:positionV>
            <wp:extent cx="4762500" cy="2505075"/>
            <wp:effectExtent l="0" t="0" r="0" b="0"/>
            <wp:wrapSquare wrapText="bothSides"/>
            <wp:docPr id="20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52171B" w:rsidRDefault="0052171B" w:rsidP="0052171B">
      <w:pPr>
        <w:pStyle w:val="tytuwykresu"/>
        <w:rPr>
          <w:shd w:val="clear" w:color="auto" w:fill="FFFFFF"/>
        </w:rPr>
      </w:pPr>
    </w:p>
    <w:p w:rsidR="009B5D2C" w:rsidRDefault="009B5D2C" w:rsidP="0052171B">
      <w:pPr>
        <w:pStyle w:val="tytuwykresu"/>
        <w:rPr>
          <w:shd w:val="clear" w:color="auto" w:fill="FFFFFF"/>
        </w:rPr>
      </w:pPr>
    </w:p>
    <w:p w:rsidR="006D19C3" w:rsidRPr="006D19C3" w:rsidRDefault="006D19C3" w:rsidP="00F802BE">
      <w:pPr>
        <w:pStyle w:val="Nagwek1"/>
      </w:pPr>
    </w:p>
    <w:p w:rsidR="00725C27" w:rsidRPr="0052171B" w:rsidRDefault="00725C27" w:rsidP="00F802BE">
      <w:pPr>
        <w:pStyle w:val="Nagwek1"/>
      </w:pPr>
    </w:p>
    <w:p w:rsidR="00725C27" w:rsidRPr="0052171B" w:rsidRDefault="00725C27" w:rsidP="00F802BE">
      <w:pPr>
        <w:pStyle w:val="Nagwek1"/>
      </w:pPr>
    </w:p>
    <w:p w:rsidR="00725C27" w:rsidRPr="0052171B" w:rsidRDefault="00725C27" w:rsidP="00F802BE">
      <w:pPr>
        <w:pStyle w:val="Nagwek1"/>
      </w:pPr>
    </w:p>
    <w:p w:rsidR="00725C27" w:rsidRDefault="00725C27" w:rsidP="00F802BE">
      <w:pPr>
        <w:pStyle w:val="Nagwek1"/>
      </w:pPr>
    </w:p>
    <w:p w:rsidR="0052171B" w:rsidRDefault="0052171B" w:rsidP="0052171B">
      <w:pPr>
        <w:rPr>
          <w:lang w:eastAsia="pl-PL"/>
        </w:rPr>
      </w:pPr>
    </w:p>
    <w:p w:rsidR="0052171B" w:rsidRDefault="0052171B" w:rsidP="0052171B">
      <w:pPr>
        <w:rPr>
          <w:lang w:eastAsia="pl-PL"/>
        </w:rPr>
      </w:pPr>
    </w:p>
    <w:p w:rsidR="00450942" w:rsidRPr="00616B18" w:rsidRDefault="00ED60A6" w:rsidP="00450942">
      <w:pPr>
        <w:pStyle w:val="Nagwek1"/>
      </w:pPr>
      <w:r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-98425</wp:posOffset>
                </wp:positionV>
                <wp:extent cx="1786890" cy="674370"/>
                <wp:effectExtent l="0" t="0" r="0" b="0"/>
                <wp:wrapTight wrapText="bothSides">
                  <wp:wrapPolygon edited="0">
                    <wp:start x="691" y="0"/>
                    <wp:lineTo x="691" y="20746"/>
                    <wp:lineTo x="20725" y="20746"/>
                    <wp:lineTo x="20725" y="0"/>
                    <wp:lineTo x="691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674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332E9B" w:rsidRDefault="00D053DB" w:rsidP="00450942">
                            <w:pPr>
                              <w:pStyle w:val="tekstzboku"/>
                            </w:pPr>
                            <w:r>
                              <w:t>Negatywna ocena popytu na produkty rolne</w:t>
                            </w:r>
                          </w:p>
                          <w:p w:rsidR="00D053DB" w:rsidRPr="00D616D2" w:rsidRDefault="00D053DB" w:rsidP="0045094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12.05pt;margin-top:-7.75pt;width:140.7pt;height:53.1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" filled="f" stroked="f">
                <v:textbox>
                  <w:txbxContent>
                    <w:p w:rsidR="00D053DB" w:rsidRPr="00332E9B" w:rsidRDefault="00D053DB" w:rsidP="00450942">
                      <w:pPr>
                        <w:pStyle w:val="tekstzboku"/>
                      </w:pPr>
                      <w:r>
                        <w:t>Negatywna ocena popytu na produkty rolne</w:t>
                      </w:r>
                    </w:p>
                    <w:p w:rsidR="00D053DB" w:rsidRPr="00D616D2" w:rsidRDefault="00D053DB" w:rsidP="0045094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50942" w:rsidRPr="00F57295">
        <w:rPr>
          <w:rFonts w:ascii="Fira Sans" w:hAnsi="Fira Sans"/>
          <w:b/>
          <w:noProof/>
          <w:spacing w:val="-2"/>
          <w:szCs w:val="19"/>
        </w:rPr>
        <w:t>Ocena popytu na produkty rolne</w:t>
      </w:r>
    </w:p>
    <w:p w:rsidR="002534DC" w:rsidRDefault="00ED60A6" w:rsidP="002534DC">
      <w:pPr>
        <w:jc w:val="both"/>
        <w:rPr>
          <w:szCs w:val="19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402590</wp:posOffset>
                </wp:positionV>
                <wp:extent cx="1644015" cy="1019175"/>
                <wp:effectExtent l="0" t="0" r="0" b="0"/>
                <wp:wrapTight wrapText="bothSides">
                  <wp:wrapPolygon edited="0">
                    <wp:start x="751" y="0"/>
                    <wp:lineTo x="751" y="20994"/>
                    <wp:lineTo x="20774" y="20994"/>
                    <wp:lineTo x="20774" y="0"/>
                    <wp:lineTo x="751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332E9B" w:rsidRDefault="00D053DB" w:rsidP="00DB0F4E">
                            <w:pPr>
                              <w:pStyle w:val="tekstzboku"/>
                            </w:pPr>
                            <w:r>
                              <w:t xml:space="preserve">Najbardziej pesymistyczni w ocenach byli rolnicy prowadzący plantacje drzew </w:t>
                            </w:r>
                            <w:r w:rsidR="00966435">
                              <w:t xml:space="preserve"> i krzewów </w:t>
                            </w:r>
                            <w:r>
                              <w:t xml:space="preserve">owocowych </w:t>
                            </w:r>
                            <w:r w:rsidR="00E348EB">
                              <w:t>oraz</w:t>
                            </w:r>
                            <w:r>
                              <w:t xml:space="preserve"> prowadzący chów świń </w:t>
                            </w:r>
                          </w:p>
                          <w:p w:rsidR="00D053DB" w:rsidRPr="00D616D2" w:rsidRDefault="00D053DB" w:rsidP="00DB0F4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12.05pt;margin-top:31.7pt;width:129.45pt;height:80.25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" filled="f" stroked="f">
                <v:textbox>
                  <w:txbxContent>
                    <w:p w:rsidR="00D053DB" w:rsidRPr="00332E9B" w:rsidRDefault="00D053DB" w:rsidP="00DB0F4E">
                      <w:pPr>
                        <w:pStyle w:val="tekstzboku"/>
                      </w:pPr>
                      <w:r>
                        <w:t xml:space="preserve">Najbardziej pesymistyczni w ocenach byli rolnicy prowadzący plantacje drzew </w:t>
                      </w:r>
                      <w:r w:rsidR="00966435">
                        <w:t xml:space="preserve"> i krzewów </w:t>
                      </w:r>
                      <w:r>
                        <w:t xml:space="preserve">owocowych </w:t>
                      </w:r>
                      <w:r w:rsidR="00E348EB">
                        <w:t>oraz</w:t>
                      </w:r>
                      <w:r>
                        <w:t xml:space="preserve"> prowadzący chów świń </w:t>
                      </w:r>
                    </w:p>
                    <w:p w:rsidR="00D053DB" w:rsidRPr="00D616D2" w:rsidRDefault="00D053DB" w:rsidP="00DB0F4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93271">
        <w:rPr>
          <w:szCs w:val="19"/>
        </w:rPr>
        <w:t>W stosunku</w:t>
      </w:r>
      <w:r w:rsidR="0049418A" w:rsidRPr="0049418A">
        <w:rPr>
          <w:szCs w:val="19"/>
        </w:rPr>
        <w:t xml:space="preserve"> do wyników poprzedniej edycji badania respondenci byli </w:t>
      </w:r>
      <w:r w:rsidR="003D241F">
        <w:rPr>
          <w:szCs w:val="19"/>
        </w:rPr>
        <w:t xml:space="preserve">jeszcze </w:t>
      </w:r>
      <w:r w:rsidR="00963AA9">
        <w:rPr>
          <w:szCs w:val="19"/>
        </w:rPr>
        <w:t xml:space="preserve">bardziej </w:t>
      </w:r>
      <w:r w:rsidR="0049418A" w:rsidRPr="0049418A">
        <w:rPr>
          <w:szCs w:val="19"/>
        </w:rPr>
        <w:t>pesymistyczni w ocenie bieżącego popytu na wytwarzane w ich gospodars</w:t>
      </w:r>
      <w:r w:rsidR="003D241F">
        <w:rPr>
          <w:szCs w:val="19"/>
        </w:rPr>
        <w:t>twach produkty rolne (minus 36,8</w:t>
      </w:r>
      <w:r w:rsidR="0049418A" w:rsidRPr="0049418A">
        <w:rPr>
          <w:szCs w:val="19"/>
        </w:rPr>
        <w:t xml:space="preserve"> p. proc. w </w:t>
      </w:r>
      <w:r w:rsidR="003D241F">
        <w:rPr>
          <w:szCs w:val="19"/>
        </w:rPr>
        <w:t>czerwcu 2018 r. wobec minus 22,6 p. proc. w grudniu</w:t>
      </w:r>
      <w:r w:rsidR="0049418A" w:rsidRPr="0049418A">
        <w:rPr>
          <w:szCs w:val="19"/>
        </w:rPr>
        <w:t xml:space="preserve"> 2017 r.).</w:t>
      </w:r>
      <w:r w:rsidR="00603B96">
        <w:rPr>
          <w:szCs w:val="19"/>
        </w:rPr>
        <w:t xml:space="preserve"> </w:t>
      </w:r>
    </w:p>
    <w:p w:rsidR="000A497E" w:rsidRDefault="001A2B8A" w:rsidP="0007075E">
      <w:pPr>
        <w:jc w:val="both"/>
        <w:rPr>
          <w:szCs w:val="19"/>
        </w:rPr>
      </w:pPr>
      <w:r>
        <w:rPr>
          <w:szCs w:val="19"/>
        </w:rPr>
        <w:t>Blisko 59</w:t>
      </w:r>
      <w:r w:rsidR="00875F9C">
        <w:rPr>
          <w:szCs w:val="19"/>
        </w:rPr>
        <w:t>% rolników uznało</w:t>
      </w:r>
      <w:r w:rsidR="0007075E" w:rsidRPr="00603B96">
        <w:rPr>
          <w:szCs w:val="19"/>
        </w:rPr>
        <w:t xml:space="preserve"> popyt za wystarczający, zg</w:t>
      </w:r>
      <w:r w:rsidR="003D241F">
        <w:rPr>
          <w:szCs w:val="19"/>
        </w:rPr>
        <w:t>odny z ich oczekiwaniami. Niewiele ponad 2</w:t>
      </w:r>
      <w:r w:rsidR="0007075E" w:rsidRPr="00603B96">
        <w:rPr>
          <w:szCs w:val="19"/>
        </w:rPr>
        <w:t>% stwierdziło, że popyt kształtuje się na poziomie powyż</w:t>
      </w:r>
      <w:r w:rsidR="00966435">
        <w:rPr>
          <w:szCs w:val="19"/>
        </w:rPr>
        <w:t>ej ich oczekiwań, wobec około 39</w:t>
      </w:r>
      <w:r w:rsidR="0007075E" w:rsidRPr="00603B96">
        <w:rPr>
          <w:szCs w:val="19"/>
        </w:rPr>
        <w:t>% respondentów, którzy wskazali, że popyt jest niewystarczający. Negatywne opinie dotyczyły wszystkich użytkowników gospodarstw rolnych niezależnie od wielko</w:t>
      </w:r>
      <w:r w:rsidR="0007075E">
        <w:rPr>
          <w:szCs w:val="19"/>
        </w:rPr>
        <w:t xml:space="preserve">ści gospodarstwa </w:t>
      </w:r>
      <w:r w:rsidR="0007075E" w:rsidRPr="00603B96">
        <w:rPr>
          <w:szCs w:val="19"/>
        </w:rPr>
        <w:t xml:space="preserve">i kierunku prowadzonej produkcji. Najbardziej niezadowoleni z popytu na produkty </w:t>
      </w:r>
      <w:r w:rsidR="00780071">
        <w:rPr>
          <w:szCs w:val="19"/>
        </w:rPr>
        <w:t>rolne byli</w:t>
      </w:r>
      <w:r w:rsidR="0007075E" w:rsidRPr="00603B96">
        <w:rPr>
          <w:szCs w:val="19"/>
        </w:rPr>
        <w:t xml:space="preserve"> rolnicy prowadzący </w:t>
      </w:r>
      <w:r w:rsidR="00780071">
        <w:rPr>
          <w:szCs w:val="19"/>
        </w:rPr>
        <w:t>plan</w:t>
      </w:r>
      <w:r>
        <w:rPr>
          <w:szCs w:val="19"/>
        </w:rPr>
        <w:t xml:space="preserve">tacje drzew </w:t>
      </w:r>
      <w:r w:rsidR="00966435">
        <w:rPr>
          <w:szCs w:val="19"/>
        </w:rPr>
        <w:t xml:space="preserve">i krzewów owocowych </w:t>
      </w:r>
      <w:r w:rsidR="00780071">
        <w:rPr>
          <w:szCs w:val="19"/>
        </w:rPr>
        <w:t>oraz hodowcy świń.</w:t>
      </w:r>
      <w:r w:rsidR="0007075E">
        <w:rPr>
          <w:szCs w:val="19"/>
        </w:rPr>
        <w:t xml:space="preserve"> </w:t>
      </w:r>
    </w:p>
    <w:p w:rsidR="0007075E" w:rsidRPr="002534DC" w:rsidRDefault="0007075E" w:rsidP="0007075E">
      <w:pPr>
        <w:jc w:val="both"/>
        <w:rPr>
          <w:szCs w:val="19"/>
        </w:rPr>
      </w:pPr>
      <w:r>
        <w:rPr>
          <w:szCs w:val="19"/>
        </w:rPr>
        <w:t>U</w:t>
      </w:r>
      <w:r w:rsidRPr="00450942">
        <w:rPr>
          <w:szCs w:val="19"/>
        </w:rPr>
        <w:t>żytkow</w:t>
      </w:r>
      <w:r w:rsidR="00780071">
        <w:rPr>
          <w:szCs w:val="19"/>
        </w:rPr>
        <w:t>nicy, którzy sygnalizowali w I półroczu 2018</w:t>
      </w:r>
      <w:r w:rsidRPr="00450942">
        <w:rPr>
          <w:szCs w:val="19"/>
        </w:rPr>
        <w:t xml:space="preserve"> r. zmiany wielkości sprzedaży wytworzo</w:t>
      </w:r>
      <w:r w:rsidR="00966435">
        <w:rPr>
          <w:szCs w:val="19"/>
        </w:rPr>
        <w:t>nych produktów rolnych</w:t>
      </w:r>
      <w:r w:rsidR="00780071">
        <w:rPr>
          <w:szCs w:val="19"/>
        </w:rPr>
        <w:t>,</w:t>
      </w:r>
      <w:r w:rsidRPr="00450942">
        <w:rPr>
          <w:szCs w:val="19"/>
        </w:rPr>
        <w:t xml:space="preserve"> częściej oceniali je jako niekorzystne (zmniejszenie sprzedaży). </w:t>
      </w:r>
      <w:r w:rsidR="00546162">
        <w:rPr>
          <w:szCs w:val="19"/>
        </w:rPr>
        <w:t xml:space="preserve">Saldo odpowiedzi dla ogółu gospodarstw prowadzących sprzedaż wytworzonych produktów zwierzęcych wynosiło minus 8,6 p. proc., a dla gospodarstw prowadzących produkcję roślinną minus </w:t>
      </w:r>
      <w:r w:rsidR="00963AA9">
        <w:rPr>
          <w:szCs w:val="19"/>
        </w:rPr>
        <w:t xml:space="preserve">23,1 p. procentowego. </w:t>
      </w:r>
    </w:p>
    <w:p w:rsidR="00681A35" w:rsidRDefault="00681A35" w:rsidP="002534DC">
      <w:pPr>
        <w:jc w:val="both"/>
        <w:rPr>
          <w:szCs w:val="19"/>
        </w:rPr>
      </w:pPr>
    </w:p>
    <w:p w:rsidR="005E1CE8" w:rsidRPr="00AB00B2" w:rsidRDefault="005E1CE8" w:rsidP="005E1CE8">
      <w:pPr>
        <w:ind w:left="851" w:hanging="851"/>
        <w:jc w:val="both"/>
        <w:rPr>
          <w:b/>
          <w:sz w:val="18"/>
          <w:szCs w:val="18"/>
        </w:rPr>
      </w:pPr>
      <w:r w:rsidRPr="00F57295">
        <w:rPr>
          <w:b/>
          <w:sz w:val="18"/>
          <w:szCs w:val="18"/>
        </w:rPr>
        <w:t xml:space="preserve">Tablica 4. Ocena </w:t>
      </w:r>
      <w:r w:rsidR="00681A35" w:rsidRPr="00F57295">
        <w:rPr>
          <w:b/>
          <w:sz w:val="18"/>
          <w:szCs w:val="18"/>
        </w:rPr>
        <w:t>popytu na produkty rolne</w:t>
      </w:r>
    </w:p>
    <w:tbl>
      <w:tblPr>
        <w:tblW w:w="8136" w:type="dxa"/>
        <w:tblInd w:w="54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1465"/>
        <w:gridCol w:w="1465"/>
        <w:gridCol w:w="47"/>
        <w:gridCol w:w="1418"/>
        <w:gridCol w:w="1417"/>
      </w:tblGrid>
      <w:tr w:rsidR="00681A35" w:rsidRPr="00681A35" w:rsidTr="00681A35">
        <w:trPr>
          <w:trHeight w:val="624"/>
        </w:trPr>
        <w:tc>
          <w:tcPr>
            <w:tcW w:w="2324" w:type="dxa"/>
            <w:vMerge w:val="restart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Wyszczególnienie</w:t>
            </w:r>
          </w:p>
          <w:p w:rsidR="00681A35" w:rsidRPr="00681A35" w:rsidRDefault="00681A35" w:rsidP="00681A35">
            <w:pPr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Gospodarstwa rolne, w których bieżący popyt na wytworzone produkty rolne był:</w:t>
            </w:r>
          </w:p>
        </w:tc>
        <w:tc>
          <w:tcPr>
            <w:tcW w:w="1417" w:type="dxa"/>
            <w:vMerge w:val="restart"/>
            <w:vAlign w:val="center"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Saldo</w:t>
            </w:r>
          </w:p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odpowiedzi</w:t>
            </w:r>
          </w:p>
          <w:p w:rsidR="00681A35" w:rsidRPr="00681A35" w:rsidRDefault="00681A35" w:rsidP="00681A35">
            <w:pPr>
              <w:jc w:val="center"/>
              <w:rPr>
                <w:i/>
                <w:sz w:val="16"/>
                <w:szCs w:val="16"/>
              </w:rPr>
            </w:pPr>
            <w:r w:rsidRPr="00681A35">
              <w:rPr>
                <w:i/>
                <w:sz w:val="16"/>
                <w:szCs w:val="16"/>
              </w:rPr>
              <w:t>w p. proc.</w:t>
            </w:r>
          </w:p>
        </w:tc>
      </w:tr>
      <w:tr w:rsidR="00681A35" w:rsidRPr="00681A35" w:rsidTr="00681A35">
        <w:trPr>
          <w:trHeight w:val="397"/>
        </w:trPr>
        <w:tc>
          <w:tcPr>
            <w:tcW w:w="2324" w:type="dxa"/>
            <w:vMerge/>
            <w:vAlign w:val="center"/>
            <w:hideMark/>
          </w:tcPr>
          <w:p w:rsidR="00681A35" w:rsidRPr="00681A35" w:rsidRDefault="00681A35" w:rsidP="00681A35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powyżej oczekiwań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zgodny z oczekiwaniami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  <w:highlight w:val="yellow"/>
              </w:rPr>
            </w:pPr>
            <w:r w:rsidRPr="00681A35">
              <w:rPr>
                <w:sz w:val="16"/>
                <w:szCs w:val="16"/>
              </w:rPr>
              <w:t>poniżej oczekiwań</w:t>
            </w:r>
          </w:p>
        </w:tc>
        <w:tc>
          <w:tcPr>
            <w:tcW w:w="1417" w:type="dxa"/>
            <w:vMerge/>
            <w:vAlign w:val="center"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</w:p>
        </w:tc>
      </w:tr>
      <w:tr w:rsidR="00681A35" w:rsidRPr="00681A35" w:rsidTr="00681A35">
        <w:trPr>
          <w:trHeight w:val="315"/>
        </w:trPr>
        <w:tc>
          <w:tcPr>
            <w:tcW w:w="2324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bottom w:val="single" w:sz="12" w:space="0" w:color="001D77"/>
            </w:tcBorders>
            <w:shd w:val="clear" w:color="auto" w:fill="auto"/>
            <w:hideMark/>
          </w:tcPr>
          <w:p w:rsidR="00681A35" w:rsidRPr="00681A35" w:rsidRDefault="00681A35" w:rsidP="00681A35">
            <w:pPr>
              <w:jc w:val="center"/>
              <w:rPr>
                <w:i/>
                <w:sz w:val="16"/>
                <w:szCs w:val="16"/>
              </w:rPr>
            </w:pPr>
            <w:r w:rsidRPr="00681A35">
              <w:rPr>
                <w:i/>
                <w:sz w:val="16"/>
                <w:szCs w:val="16"/>
              </w:rPr>
              <w:t xml:space="preserve">w odsetkach </w:t>
            </w:r>
          </w:p>
        </w:tc>
        <w:tc>
          <w:tcPr>
            <w:tcW w:w="1417" w:type="dxa"/>
            <w:vMerge/>
            <w:tcBorders>
              <w:bottom w:val="single" w:sz="12" w:space="0" w:color="001D77"/>
            </w:tcBorders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2013 r.</w:t>
            </w:r>
          </w:p>
        </w:tc>
        <w:tc>
          <w:tcPr>
            <w:tcW w:w="1465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2,3</w:t>
            </w:r>
          </w:p>
        </w:tc>
        <w:tc>
          <w:tcPr>
            <w:tcW w:w="1465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56,6</w:t>
            </w:r>
          </w:p>
        </w:tc>
        <w:tc>
          <w:tcPr>
            <w:tcW w:w="1465" w:type="dxa"/>
            <w:gridSpan w:val="2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41,1</w:t>
            </w:r>
          </w:p>
        </w:tc>
        <w:tc>
          <w:tcPr>
            <w:tcW w:w="1417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-38,8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Grudzień  2013 r.</w:t>
            </w:r>
          </w:p>
        </w:tc>
        <w:tc>
          <w:tcPr>
            <w:tcW w:w="1465" w:type="dxa"/>
            <w:tcBorders>
              <w:top w:val="single" w:sz="4" w:space="0" w:color="001D77"/>
            </w:tcBorders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2,5</w:t>
            </w:r>
          </w:p>
        </w:tc>
        <w:tc>
          <w:tcPr>
            <w:tcW w:w="1465" w:type="dxa"/>
            <w:tcBorders>
              <w:top w:val="single" w:sz="4" w:space="0" w:color="001D77"/>
            </w:tcBorders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63,6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</w:tcBorders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33,9</w:t>
            </w:r>
          </w:p>
        </w:tc>
        <w:tc>
          <w:tcPr>
            <w:tcW w:w="1417" w:type="dxa"/>
            <w:tcBorders>
              <w:top w:val="single" w:sz="4" w:space="0" w:color="001D77"/>
            </w:tcBorders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-31,4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1,9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61,3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36,8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-34,9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Grudzień  2014 r.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1,2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48,9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49,9</w:t>
            </w:r>
          </w:p>
        </w:tc>
        <w:tc>
          <w:tcPr>
            <w:tcW w:w="1417" w:type="dxa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-48,7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2015 r.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1,6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47,6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50,8</w:t>
            </w:r>
          </w:p>
        </w:tc>
        <w:tc>
          <w:tcPr>
            <w:tcW w:w="1417" w:type="dxa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-49,2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Grudzień  2015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52,2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46,2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-44,6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2,3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56,8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40,9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-38,6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Grudzień  2016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2,6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67,6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29,8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-27,2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2017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4,9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69,3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-20,9</w:t>
            </w:r>
          </w:p>
        </w:tc>
      </w:tr>
      <w:tr w:rsidR="00681A35" w:rsidRPr="00CE430C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CE430C" w:rsidRDefault="00681A35" w:rsidP="00681A35">
            <w:pPr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 xml:space="preserve">  Grudzień  2017 r.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3,9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69,6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26,5</w:t>
            </w:r>
          </w:p>
        </w:tc>
        <w:tc>
          <w:tcPr>
            <w:tcW w:w="1417" w:type="dxa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-22,6</w:t>
            </w:r>
          </w:p>
        </w:tc>
      </w:tr>
      <w:tr w:rsidR="00CE430C" w:rsidRPr="00852CFF" w:rsidTr="00CE430C">
        <w:trPr>
          <w:trHeight w:val="170"/>
        </w:trPr>
        <w:tc>
          <w:tcPr>
            <w:tcW w:w="2324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E430C" w:rsidRPr="00852CFF" w:rsidRDefault="00CE430C" w:rsidP="00C95A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Czerwiec 2018</w:t>
            </w:r>
            <w:r w:rsidRPr="00852CFF">
              <w:rPr>
                <w:b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E430C" w:rsidRPr="00852CFF" w:rsidRDefault="00CE430C" w:rsidP="00C95AD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E430C" w:rsidRPr="00852CFF" w:rsidRDefault="00CE430C" w:rsidP="00C95AD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58,8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E430C" w:rsidRPr="00852CFF" w:rsidRDefault="00CE430C" w:rsidP="00C95AD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vAlign w:val="bottom"/>
          </w:tcPr>
          <w:p w:rsidR="00CE430C" w:rsidRPr="00852CFF" w:rsidRDefault="00CE430C" w:rsidP="00C95AD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-36,8</w:t>
            </w:r>
          </w:p>
        </w:tc>
      </w:tr>
    </w:tbl>
    <w:p w:rsidR="005E1CE8" w:rsidRDefault="00ED60A6" w:rsidP="002534DC">
      <w:pPr>
        <w:jc w:val="both"/>
        <w:rPr>
          <w:szCs w:val="19"/>
        </w:rPr>
      </w:pPr>
      <w:r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299720</wp:posOffset>
                </wp:positionV>
                <wp:extent cx="1644015" cy="581025"/>
                <wp:effectExtent l="0" t="0" r="0" b="0"/>
                <wp:wrapTight wrapText="bothSides">
                  <wp:wrapPolygon edited="0">
                    <wp:start x="751" y="0"/>
                    <wp:lineTo x="751" y="20538"/>
                    <wp:lineTo x="20774" y="20538"/>
                    <wp:lineTo x="20774" y="0"/>
                    <wp:lineTo x="751" y="0"/>
                  </wp:wrapPolygon>
                </wp:wrapTight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D616D2" w:rsidRDefault="00D053DB" w:rsidP="00C82916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 xml:space="preserve">Pesymistyczne prognozy na </w:t>
                            </w:r>
                            <w:r w:rsidR="00161D0A">
                              <w:t>I</w:t>
                            </w:r>
                            <w:r>
                              <w:t xml:space="preserve">I półrocze 2018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2.05pt;margin-top:23.6pt;width:129.45pt;height:45.75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" filled="f" stroked="f">
                <v:textbox>
                  <w:txbxContent>
                    <w:p w:rsidR="00D053DB" w:rsidRPr="00D616D2" w:rsidRDefault="00D053DB" w:rsidP="00C82916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 xml:space="preserve">Pesymistyczne prognozy na </w:t>
                      </w:r>
                      <w:r w:rsidR="00161D0A">
                        <w:t>I</w:t>
                      </w:r>
                      <w:r>
                        <w:t xml:space="preserve">I półrocze 2018 r.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50942" w:rsidRPr="00616B18" w:rsidRDefault="00450942" w:rsidP="00450942">
      <w:pPr>
        <w:pStyle w:val="Nagwek1"/>
      </w:pPr>
      <w:r w:rsidRPr="00F57295">
        <w:rPr>
          <w:rFonts w:ascii="Fira Sans" w:hAnsi="Fira Sans"/>
          <w:b/>
          <w:noProof/>
          <w:spacing w:val="-2"/>
          <w:szCs w:val="19"/>
        </w:rPr>
        <w:t>Prognoza</w:t>
      </w:r>
      <w:r w:rsidR="009130C6" w:rsidRPr="00F57295">
        <w:rPr>
          <w:rFonts w:ascii="Fira Sans" w:hAnsi="Fira Sans"/>
          <w:b/>
          <w:noProof/>
          <w:spacing w:val="-2"/>
          <w:szCs w:val="19"/>
        </w:rPr>
        <w:t xml:space="preserve"> </w:t>
      </w:r>
      <w:r w:rsidRPr="00F57295">
        <w:rPr>
          <w:rFonts w:ascii="Fira Sans" w:hAnsi="Fira Sans"/>
          <w:b/>
          <w:noProof/>
          <w:spacing w:val="-2"/>
          <w:szCs w:val="19"/>
        </w:rPr>
        <w:t xml:space="preserve"> sytuacji gospodarstw rolnych</w:t>
      </w:r>
    </w:p>
    <w:p w:rsidR="008C60EB" w:rsidRDefault="00ED60A6" w:rsidP="002A562F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535940</wp:posOffset>
                </wp:positionV>
                <wp:extent cx="1786890" cy="952500"/>
                <wp:effectExtent l="0" t="0" r="0" b="0"/>
                <wp:wrapTight wrapText="bothSides">
                  <wp:wrapPolygon edited="0">
                    <wp:start x="691" y="0"/>
                    <wp:lineTo x="691" y="21168"/>
                    <wp:lineTo x="20725" y="21168"/>
                    <wp:lineTo x="20725" y="0"/>
                    <wp:lineTo x="691" y="0"/>
                  </wp:wrapPolygon>
                </wp:wrapTight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332E9B" w:rsidRDefault="00D053DB" w:rsidP="009E5686">
                            <w:pPr>
                              <w:pStyle w:val="tekstzboku"/>
                            </w:pPr>
                            <w:r>
                              <w:t>Najbardziej o swoją przyszłość obawiają się rolnicy prowadzący chów świń, a także rolnicy prowadzący uprawy drzew i krzewów owocowych</w:t>
                            </w:r>
                          </w:p>
                          <w:p w:rsidR="00D053DB" w:rsidRPr="00D616D2" w:rsidRDefault="00D053DB" w:rsidP="009E568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12.05pt;margin-top:42.2pt;width:140.7pt;height:75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" filled="f" stroked="f">
                <v:textbox>
                  <w:txbxContent>
                    <w:p w:rsidR="00D053DB" w:rsidRPr="00332E9B" w:rsidRDefault="00D053DB" w:rsidP="009E5686">
                      <w:pPr>
                        <w:pStyle w:val="tekstzboku"/>
                      </w:pPr>
                      <w:r>
                        <w:t>Najbardziej o swoją przyszłość obawiają się rolnicy prowadzący chów świń, a także rolnicy prowadzący uprawy drzew i krzewów owocowych</w:t>
                      </w:r>
                    </w:p>
                    <w:p w:rsidR="00D053DB" w:rsidRPr="00D616D2" w:rsidRDefault="00D053DB" w:rsidP="009E568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C60EB">
        <w:rPr>
          <w:szCs w:val="19"/>
        </w:rPr>
        <w:t>W czerwcu 2018 r. prognozy dotyczące zarówno sytuacji ogólnej gospodarstw rolnych, opłacalności produkcji rolniczej, jak i popytu na wytwarzane produkty rolne były niekorzystne. Odnotowano dalsze pogarszanie się nastrojów rolników w porównaniu do poprzednich edy</w:t>
      </w:r>
      <w:r w:rsidR="00001E60">
        <w:rPr>
          <w:szCs w:val="19"/>
        </w:rPr>
        <w:t>cji badania.</w:t>
      </w:r>
    </w:p>
    <w:p w:rsidR="002A562F" w:rsidRDefault="00681A35" w:rsidP="002A562F">
      <w:pPr>
        <w:jc w:val="both"/>
        <w:rPr>
          <w:szCs w:val="19"/>
        </w:rPr>
      </w:pPr>
      <w:r w:rsidRPr="00681A35">
        <w:rPr>
          <w:szCs w:val="19"/>
        </w:rPr>
        <w:t xml:space="preserve">Najbardziej o swoją przyszłość obawiają się użytkownicy gospodarstw prowadzących uprawy </w:t>
      </w:r>
      <w:r w:rsidR="00BF7A9A">
        <w:rPr>
          <w:szCs w:val="19"/>
        </w:rPr>
        <w:t>drzew i krzewów owocowych</w:t>
      </w:r>
      <w:r w:rsidR="00001E60">
        <w:rPr>
          <w:szCs w:val="19"/>
        </w:rPr>
        <w:t xml:space="preserve"> oraz hodowcy </w:t>
      </w:r>
      <w:r w:rsidRPr="00681A35">
        <w:rPr>
          <w:szCs w:val="19"/>
        </w:rPr>
        <w:t xml:space="preserve"> świń.</w:t>
      </w:r>
      <w:r w:rsidR="002A562F">
        <w:rPr>
          <w:szCs w:val="19"/>
        </w:rPr>
        <w:t xml:space="preserve"> </w:t>
      </w:r>
      <w:r w:rsidRPr="00681A35">
        <w:rPr>
          <w:szCs w:val="19"/>
        </w:rPr>
        <w:t xml:space="preserve"> </w:t>
      </w:r>
      <w:r w:rsidR="002A562F" w:rsidRPr="002A562F">
        <w:rPr>
          <w:szCs w:val="19"/>
        </w:rPr>
        <w:t>Biorąc pod uwagę ukierunkowanie produkcyjne gospodarstw rolnych, najmniej pesymistyczne opinie wyrażali rolnicy specjalizujący się</w:t>
      </w:r>
      <w:r w:rsidR="00BF7A9A">
        <w:rPr>
          <w:szCs w:val="19"/>
        </w:rPr>
        <w:br/>
      </w:r>
      <w:r w:rsidR="002A562F" w:rsidRPr="002A562F">
        <w:rPr>
          <w:szCs w:val="19"/>
        </w:rPr>
        <w:t xml:space="preserve"> w pro</w:t>
      </w:r>
      <w:r w:rsidR="00BF7A9A">
        <w:rPr>
          <w:szCs w:val="19"/>
        </w:rPr>
        <w:t>dukcji zwierzęcej</w:t>
      </w:r>
      <w:r w:rsidR="002A562F" w:rsidRPr="002A562F">
        <w:rPr>
          <w:szCs w:val="19"/>
        </w:rPr>
        <w:t>. Przewagę opinii pozytywnych nad negatywnymi w ocenie</w:t>
      </w:r>
      <w:r w:rsidR="00966435">
        <w:rPr>
          <w:szCs w:val="19"/>
        </w:rPr>
        <w:t xml:space="preserve"> przyszłej</w:t>
      </w:r>
      <w:r w:rsidR="002A562F" w:rsidRPr="002A562F">
        <w:rPr>
          <w:szCs w:val="19"/>
        </w:rPr>
        <w:t xml:space="preserve"> sytuacji ogólnej gospodarstwa rolnego, zapotrzebowania na produkty</w:t>
      </w:r>
      <w:r w:rsidR="00BF7A9A">
        <w:rPr>
          <w:szCs w:val="19"/>
        </w:rPr>
        <w:t xml:space="preserve"> </w:t>
      </w:r>
      <w:r w:rsidR="002A562F" w:rsidRPr="002A562F">
        <w:rPr>
          <w:szCs w:val="19"/>
        </w:rPr>
        <w:t>rolne i opłacalności produkcji rolniczej odno</w:t>
      </w:r>
      <w:r w:rsidR="002A562F">
        <w:rPr>
          <w:szCs w:val="19"/>
        </w:rPr>
        <w:t xml:space="preserve">towano </w:t>
      </w:r>
      <w:r w:rsidR="00BF7A9A">
        <w:rPr>
          <w:szCs w:val="19"/>
        </w:rPr>
        <w:t xml:space="preserve">jedynie </w:t>
      </w:r>
      <w:r w:rsidR="002A562F" w:rsidRPr="002A562F">
        <w:rPr>
          <w:szCs w:val="19"/>
        </w:rPr>
        <w:t xml:space="preserve">w przypadku gospodarstw </w:t>
      </w:r>
      <w:r w:rsidR="0037600A">
        <w:rPr>
          <w:szCs w:val="19"/>
        </w:rPr>
        <w:t>specjalizujących się w</w:t>
      </w:r>
      <w:r w:rsidR="002A562F" w:rsidRPr="002A562F">
        <w:rPr>
          <w:szCs w:val="19"/>
        </w:rPr>
        <w:t xml:space="preserve"> </w:t>
      </w:r>
      <w:r w:rsidR="00BF7A9A">
        <w:rPr>
          <w:szCs w:val="19"/>
        </w:rPr>
        <w:t xml:space="preserve">chowie drobiu rzeźnego. </w:t>
      </w:r>
    </w:p>
    <w:p w:rsidR="00380570" w:rsidRDefault="00380570" w:rsidP="00380570">
      <w:pPr>
        <w:pStyle w:val="tytuwykresu"/>
        <w:ind w:left="907" w:hanging="907"/>
        <w:rPr>
          <w:shd w:val="clear" w:color="auto" w:fill="FFFFFF"/>
        </w:rPr>
      </w:pPr>
    </w:p>
    <w:p w:rsidR="00001E60" w:rsidRDefault="00001E60" w:rsidP="00001E60">
      <w:pPr>
        <w:pStyle w:val="tytuwykresu"/>
        <w:ind w:left="907" w:hanging="907"/>
        <w:rPr>
          <w:shd w:val="clear" w:color="auto" w:fill="FFFFFF"/>
        </w:rPr>
      </w:pPr>
      <w:r w:rsidRPr="00496AD4">
        <w:t>Wykres 1</w:t>
      </w:r>
      <w:r>
        <w:t>2</w:t>
      </w:r>
      <w:r w:rsidRPr="00496AD4">
        <w:t>.</w:t>
      </w:r>
      <w:r w:rsidRPr="00496AD4">
        <w:rPr>
          <w:shd w:val="clear" w:color="auto" w:fill="FFFFFF"/>
        </w:rPr>
        <w:t xml:space="preserve"> </w:t>
      </w:r>
      <w:r w:rsidRPr="001C5701">
        <w:rPr>
          <w:shd w:val="clear" w:color="auto" w:fill="FFFFFF"/>
        </w:rPr>
        <w:t>Salda odpowiedzi dotyczące prognozowanej w I</w:t>
      </w:r>
      <w:r>
        <w:rPr>
          <w:shd w:val="clear" w:color="auto" w:fill="FFFFFF"/>
        </w:rPr>
        <w:t>I</w:t>
      </w:r>
      <w:r w:rsidRPr="001C5701">
        <w:rPr>
          <w:shd w:val="clear" w:color="auto" w:fill="FFFFFF"/>
        </w:rPr>
        <w:t xml:space="preserve"> półroczu 2018 r. sytuacji ogólnej gospodarstw rolnych, opłacalności produkcji rolnicze</w:t>
      </w:r>
      <w:r>
        <w:rPr>
          <w:shd w:val="clear" w:color="auto" w:fill="FFFFFF"/>
        </w:rPr>
        <w:t xml:space="preserve">j oraz popytu na produkty rolne </w:t>
      </w:r>
    </w:p>
    <w:p w:rsidR="00001E60" w:rsidRDefault="00001E60" w:rsidP="00001E60">
      <w:pPr>
        <w:pStyle w:val="tytuwykresu"/>
        <w:ind w:left="907" w:hanging="907"/>
        <w:rPr>
          <w:rFonts w:ascii="Times New Roman" w:hAnsi="Times New Roman"/>
          <w:sz w:val="24"/>
          <w:szCs w:val="24"/>
        </w:rPr>
      </w:pPr>
    </w:p>
    <w:p w:rsidR="00001E60" w:rsidRPr="00450942" w:rsidRDefault="00001E60" w:rsidP="00001E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63500</wp:posOffset>
            </wp:positionV>
            <wp:extent cx="5124450" cy="2581275"/>
            <wp:effectExtent l="0" t="0" r="0" b="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260D5F" w:rsidRPr="00380570" w:rsidRDefault="00260D5F" w:rsidP="00260D5F">
      <w:pPr>
        <w:rPr>
          <w:lang w:eastAsia="pl-PL"/>
        </w:rPr>
      </w:pPr>
    </w:p>
    <w:p w:rsidR="00260D5F" w:rsidRPr="00380570" w:rsidRDefault="00ED60A6" w:rsidP="00260D5F">
      <w:pPr>
        <w:rPr>
          <w:lang w:eastAsia="pl-PL"/>
        </w:rPr>
      </w:pPr>
      <w:r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44450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1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Pr="00E76982" w:rsidRDefault="00D053DB" w:rsidP="009552A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val="en-US"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38" type="#_x0000_t202" style="position:absolute;margin-left:417pt;margin-top:3.5pt;width:135.85pt;height:65.5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" filled="f" stroked="f">
                <v:textbox>
                  <w:txbxContent>
                    <w:p w:rsidR="00D053DB" w:rsidRPr="00E76982" w:rsidRDefault="00D053DB" w:rsidP="009552A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val="en-US"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84354" w:rsidRDefault="00384354" w:rsidP="00E76D26">
      <w:pPr>
        <w:rPr>
          <w:sz w:val="18"/>
        </w:rPr>
      </w:pPr>
    </w:p>
    <w:p w:rsidR="00384354" w:rsidRPr="00570870" w:rsidRDefault="00384354" w:rsidP="00E76D26">
      <w:pPr>
        <w:rPr>
          <w:sz w:val="18"/>
        </w:rPr>
        <w:sectPr w:rsidR="00384354" w:rsidRPr="00570870" w:rsidSect="00CC2F7C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720" w:right="3119" w:bottom="720" w:left="720" w:header="284" w:footer="284" w:gutter="0"/>
          <w:cols w:space="708"/>
          <w:titlePg/>
          <w:docGrid w:linePitch="360"/>
        </w:sectPr>
      </w:pPr>
    </w:p>
    <w:p w:rsidR="000470AA" w:rsidRPr="00570870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0470AA" w:rsidRPr="00DC735B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504DAB">
              <w:rPr>
                <w:rFonts w:cs="Arial"/>
                <w:b/>
                <w:color w:val="000000" w:themeColor="text1"/>
                <w:sz w:val="20"/>
              </w:rPr>
              <w:t>Rolnictwa</w:t>
            </w:r>
          </w:p>
          <w:p w:rsidR="000470AA" w:rsidRPr="00570870" w:rsidRDefault="00504DAB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57087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Anna Majcher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504DA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608 37 08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7" w:history="1">
              <w:r w:rsidR="00D118D9" w:rsidRPr="006C731A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A.Majcher@stat.gov.pl</w:t>
              </w:r>
            </w:hyperlink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8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38669A" w:rsidRDefault="000470AA" w:rsidP="000470AA">
      <w:pPr>
        <w:rPr>
          <w:sz w:val="20"/>
          <w:lang w:val="en-US"/>
        </w:rPr>
      </w:pPr>
    </w:p>
    <w:p w:rsidR="000470AA" w:rsidRPr="0038669A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38669A" w:rsidRDefault="000470AA" w:rsidP="000470AA">
            <w:pPr>
              <w:rPr>
                <w:sz w:val="20"/>
                <w:lang w:val="en-US"/>
              </w:rPr>
            </w:pPr>
            <w:r w:rsidRPr="0038669A">
              <w:rPr>
                <w:b/>
                <w:sz w:val="20"/>
                <w:lang w:val="en-US"/>
              </w:rPr>
              <w:t>faks:</w:t>
            </w:r>
            <w:r w:rsidR="00097840" w:rsidRPr="0038669A">
              <w:rPr>
                <w:sz w:val="20"/>
                <w:lang w:val="en-US"/>
              </w:rPr>
              <w:t xml:space="preserve"> 22</w:t>
            </w:r>
            <w:r w:rsidRPr="0038669A">
              <w:rPr>
                <w:sz w:val="20"/>
                <w:lang w:val="en-US"/>
              </w:rPr>
              <w:t xml:space="preserve"> 608 38 86 </w:t>
            </w:r>
          </w:p>
          <w:p w:rsidR="000470AA" w:rsidRPr="0038669A" w:rsidRDefault="000470AA" w:rsidP="000470AA">
            <w:pPr>
              <w:rPr>
                <w:sz w:val="18"/>
                <w:lang w:val="en-US"/>
              </w:rPr>
            </w:pPr>
            <w:r w:rsidRPr="0038669A">
              <w:rPr>
                <w:b/>
                <w:sz w:val="20"/>
                <w:lang w:val="en-US"/>
              </w:rPr>
              <w:t>e-mail:</w:t>
            </w:r>
            <w:r w:rsidRPr="0038669A">
              <w:rPr>
                <w:sz w:val="20"/>
                <w:lang w:val="en-US"/>
              </w:rPr>
              <w:t xml:space="preserve"> </w:t>
            </w:r>
            <w:hyperlink r:id="rId29" w:history="1">
              <w:r w:rsidRPr="0038669A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38669A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ED60A6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0" t="0" r="12700" b="1460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DB" w:rsidRDefault="00D053DB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D053DB" w:rsidRPr="008E4767" w:rsidRDefault="00D053DB" w:rsidP="00AB6D25">
                            <w:pPr>
                              <w:rPr>
                                <w:b/>
                              </w:rPr>
                            </w:pPr>
                            <w:r w:rsidRPr="008E476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D053DB" w:rsidRPr="008E4767" w:rsidRDefault="00C15603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3" w:history="1">
                              <w:r w:rsidR="00D053DB" w:rsidRPr="008E4767">
                                <w:rPr>
                                  <w:rStyle w:val="Hipercze"/>
                                  <w:rFonts w:cstheme="minorBidi"/>
                                  <w:b/>
                                  <w:color w:val="001D77"/>
                                  <w:sz w:val="18"/>
                                  <w:szCs w:val="18"/>
                                </w:rPr>
                                <w:t>Rolnictwo</w:t>
                              </w:r>
                            </w:hyperlink>
                            <w:r w:rsidR="00D053DB" w:rsidRPr="008E4767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053DB" w:rsidRPr="008E4767" w:rsidRDefault="00D053D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053DB" w:rsidRDefault="00D053D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D053DB" w:rsidRPr="006C731A" w:rsidRDefault="00C15603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4" w:history="1">
                              <w:r w:rsidR="00D053DB" w:rsidRPr="006C731A">
                                <w:rPr>
                                  <w:rStyle w:val="Hipercze"/>
                                  <w:rFonts w:cstheme="minorBidi"/>
                                  <w:b/>
                                  <w:color w:val="001D77"/>
                                  <w:sz w:val="18"/>
                                  <w:szCs w:val="18"/>
                                </w:rPr>
                                <w:t>Gospodarstwo rolne</w:t>
                              </w:r>
                            </w:hyperlink>
                          </w:p>
                          <w:p w:rsidR="00D053DB" w:rsidRPr="006C731A" w:rsidRDefault="00C15603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5" w:history="1">
                              <w:r w:rsidR="00D053DB" w:rsidRPr="006C731A">
                                <w:rPr>
                                  <w:rStyle w:val="Hipercze"/>
                                  <w:rFonts w:cstheme="minorBidi"/>
                                  <w:b/>
                                  <w:color w:val="001D77"/>
                                  <w:sz w:val="18"/>
                                  <w:szCs w:val="18"/>
                                </w:rPr>
                                <w:t>Działalność rolnicza</w:t>
                              </w:r>
                            </w:hyperlink>
                          </w:p>
                          <w:p w:rsidR="00D053DB" w:rsidRPr="006C731A" w:rsidRDefault="00C15603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6" w:history="1">
                              <w:r w:rsidR="00D053DB" w:rsidRPr="006C731A">
                                <w:rPr>
                                  <w:rStyle w:val="Hipercze"/>
                                  <w:rFonts w:cstheme="minorBidi"/>
                                  <w:b/>
                                  <w:color w:val="001D77"/>
                                  <w:sz w:val="18"/>
                                  <w:szCs w:val="18"/>
                                </w:rPr>
                                <w:t>Koniunktura</w:t>
                              </w:r>
                            </w:hyperlink>
                          </w:p>
                          <w:p w:rsidR="00D053DB" w:rsidRPr="006C731A" w:rsidRDefault="00C15603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7" w:history="1">
                              <w:r w:rsidR="00D053DB" w:rsidRPr="006C731A">
                                <w:rPr>
                                  <w:rStyle w:val="Hipercze"/>
                                  <w:rFonts w:cstheme="minorBidi"/>
                                  <w:b/>
                                  <w:color w:val="001D77"/>
                                  <w:sz w:val="18"/>
                                  <w:szCs w:val="18"/>
                                </w:rPr>
                                <w:t>Popyt</w:t>
                              </w:r>
                            </w:hyperlink>
                          </w:p>
                          <w:p w:rsidR="00D053DB" w:rsidRPr="008E4767" w:rsidRDefault="00D053D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053DB" w:rsidRPr="008E4767" w:rsidRDefault="00D053D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4qQAIAAHQ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pfcm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" fillcolor="#f2f2f2 [3052]" strokecolor="white [3212]">
                <v:textbox>
                  <w:txbxContent>
                    <w:p w:rsidR="00D053DB" w:rsidRDefault="00D053DB" w:rsidP="00AB6D25">
                      <w:pPr>
                        <w:rPr>
                          <w:b/>
                        </w:rPr>
                      </w:pPr>
                    </w:p>
                    <w:p w:rsidR="00D053DB" w:rsidRPr="008E4767" w:rsidRDefault="00D053DB" w:rsidP="00AB6D25">
                      <w:pPr>
                        <w:rPr>
                          <w:b/>
                        </w:rPr>
                      </w:pPr>
                      <w:r w:rsidRPr="008E4767">
                        <w:rPr>
                          <w:b/>
                        </w:rPr>
                        <w:t>Powiązane opracowania</w:t>
                      </w:r>
                    </w:p>
                    <w:p w:rsidR="00D053DB" w:rsidRPr="008E4767" w:rsidRDefault="00C15603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38" w:history="1">
                        <w:r w:rsidR="00D053DB" w:rsidRPr="008E4767">
                          <w:rPr>
                            <w:rStyle w:val="Hipercze"/>
                            <w:rFonts w:cstheme="minorBidi"/>
                            <w:b/>
                            <w:color w:val="001D77"/>
                            <w:sz w:val="18"/>
                            <w:szCs w:val="18"/>
                          </w:rPr>
                          <w:t>Rolnictwo</w:t>
                        </w:r>
                      </w:hyperlink>
                      <w:r w:rsidR="00D053DB" w:rsidRPr="008E4767">
                        <w:rPr>
                          <w:b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053DB" w:rsidRPr="008E4767" w:rsidRDefault="00D053D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D053DB" w:rsidRDefault="00D053D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D053DB" w:rsidRPr="006C731A" w:rsidRDefault="00C15603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39" w:history="1">
                        <w:r w:rsidR="00D053DB" w:rsidRPr="006C731A">
                          <w:rPr>
                            <w:rStyle w:val="Hipercze"/>
                            <w:rFonts w:cstheme="minorBidi"/>
                            <w:b/>
                            <w:color w:val="001D77"/>
                            <w:sz w:val="18"/>
                            <w:szCs w:val="18"/>
                          </w:rPr>
                          <w:t>Gospodarstwo rolne</w:t>
                        </w:r>
                      </w:hyperlink>
                    </w:p>
                    <w:p w:rsidR="00D053DB" w:rsidRPr="006C731A" w:rsidRDefault="00C15603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40" w:history="1">
                        <w:r w:rsidR="00D053DB" w:rsidRPr="006C731A">
                          <w:rPr>
                            <w:rStyle w:val="Hipercze"/>
                            <w:rFonts w:cstheme="minorBidi"/>
                            <w:b/>
                            <w:color w:val="001D77"/>
                            <w:sz w:val="18"/>
                            <w:szCs w:val="18"/>
                          </w:rPr>
                          <w:t>Działalność rolnicza</w:t>
                        </w:r>
                      </w:hyperlink>
                    </w:p>
                    <w:p w:rsidR="00D053DB" w:rsidRPr="006C731A" w:rsidRDefault="00C15603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41" w:history="1">
                        <w:r w:rsidR="00D053DB" w:rsidRPr="006C731A">
                          <w:rPr>
                            <w:rStyle w:val="Hipercze"/>
                            <w:rFonts w:cstheme="minorBidi"/>
                            <w:b/>
                            <w:color w:val="001D77"/>
                            <w:sz w:val="18"/>
                            <w:szCs w:val="18"/>
                          </w:rPr>
                          <w:t>Koniunktura</w:t>
                        </w:r>
                      </w:hyperlink>
                    </w:p>
                    <w:p w:rsidR="00D053DB" w:rsidRPr="006C731A" w:rsidRDefault="00C15603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42" w:history="1">
                        <w:r w:rsidR="00D053DB" w:rsidRPr="006C731A">
                          <w:rPr>
                            <w:rStyle w:val="Hipercze"/>
                            <w:rFonts w:cstheme="minorBidi"/>
                            <w:b/>
                            <w:color w:val="001D77"/>
                            <w:sz w:val="18"/>
                            <w:szCs w:val="18"/>
                          </w:rPr>
                          <w:t>Popyt</w:t>
                        </w:r>
                      </w:hyperlink>
                    </w:p>
                    <w:p w:rsidR="00D053DB" w:rsidRPr="008E4767" w:rsidRDefault="00D053D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D053DB" w:rsidRPr="008E4767" w:rsidRDefault="00D053D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3"/>
      <w:footerReference w:type="default" r:id="rId4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03" w:rsidRDefault="00C15603" w:rsidP="000662E2">
      <w:pPr>
        <w:spacing w:after="0" w:line="240" w:lineRule="auto"/>
      </w:pPr>
      <w:r>
        <w:separator/>
      </w:r>
    </w:p>
  </w:endnote>
  <w:endnote w:type="continuationSeparator" w:id="0">
    <w:p w:rsidR="00C15603" w:rsidRDefault="00C1560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D053DB" w:rsidRDefault="00C15603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D60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D053DB" w:rsidRDefault="00C15603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D053DB" w:rsidRDefault="00C15603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6A6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03" w:rsidRDefault="00C15603" w:rsidP="000662E2">
      <w:pPr>
        <w:spacing w:after="0" w:line="240" w:lineRule="auto"/>
      </w:pPr>
      <w:r>
        <w:separator/>
      </w:r>
    </w:p>
  </w:footnote>
  <w:footnote w:type="continuationSeparator" w:id="0">
    <w:p w:rsidR="00C15603" w:rsidRDefault="00C1560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DB" w:rsidRDefault="00ED60A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39CE4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D053DB" w:rsidRDefault="00D053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DB" w:rsidRDefault="00ED60A6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6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53DB" w:rsidRPr="003C6C8D" w:rsidRDefault="00D053D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4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D053DB" w:rsidRPr="003C6C8D" w:rsidRDefault="00D053D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B2D4A4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D053DB" w:rsidRPr="00801137">
      <w:rPr>
        <w:noProof/>
        <w:lang w:eastAsia="pl-PL"/>
      </w:rPr>
      <w:drawing>
        <wp:inline distT="0" distB="0" distL="0" distR="0">
          <wp:extent cx="1438275" cy="476250"/>
          <wp:effectExtent l="19050" t="0" r="9525" b="0"/>
          <wp:docPr id="1" name="Obraz 1" descr="cid:image001.png@01D39B68.42BAD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39B68.42BAD18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53DB" w:rsidRDefault="00ED60A6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53DB" w:rsidRPr="00C97596" w:rsidRDefault="00D053D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01.10.2018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tp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k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pYAtp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D053DB" w:rsidRPr="00C97596" w:rsidRDefault="00D053D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01.10.2018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DB" w:rsidRDefault="00D053DB">
    <w:pPr>
      <w:pStyle w:val="Nagwek"/>
    </w:pPr>
  </w:p>
  <w:p w:rsidR="00D053DB" w:rsidRDefault="00D053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CC66CC"/>
    <w:multiLevelType w:val="hybridMultilevel"/>
    <w:tmpl w:val="DE32D1BA"/>
    <w:lvl w:ilvl="0" w:tplc="566CC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590C"/>
    <w:multiLevelType w:val="hybridMultilevel"/>
    <w:tmpl w:val="C814234C"/>
    <w:lvl w:ilvl="0" w:tplc="504603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C199C"/>
    <w:multiLevelType w:val="hybridMultilevel"/>
    <w:tmpl w:val="795E9B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643A9F"/>
    <w:multiLevelType w:val="hybridMultilevel"/>
    <w:tmpl w:val="6ED4529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>
      <o:colormru v:ext="edit" colors="gray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1E60"/>
    <w:rsid w:val="00003437"/>
    <w:rsid w:val="0000709F"/>
    <w:rsid w:val="00010573"/>
    <w:rsid w:val="000108B8"/>
    <w:rsid w:val="00014F19"/>
    <w:rsid w:val="000152F5"/>
    <w:rsid w:val="00017C3E"/>
    <w:rsid w:val="000232CF"/>
    <w:rsid w:val="00031306"/>
    <w:rsid w:val="0004582E"/>
    <w:rsid w:val="000470AA"/>
    <w:rsid w:val="00047EAA"/>
    <w:rsid w:val="00057CA1"/>
    <w:rsid w:val="000662E2"/>
    <w:rsid w:val="00066883"/>
    <w:rsid w:val="0007075E"/>
    <w:rsid w:val="00074DD8"/>
    <w:rsid w:val="00075E46"/>
    <w:rsid w:val="000806F7"/>
    <w:rsid w:val="00081946"/>
    <w:rsid w:val="00093271"/>
    <w:rsid w:val="00097840"/>
    <w:rsid w:val="000A497E"/>
    <w:rsid w:val="000A6BF4"/>
    <w:rsid w:val="000B0727"/>
    <w:rsid w:val="000C135D"/>
    <w:rsid w:val="000D08DE"/>
    <w:rsid w:val="000D1D43"/>
    <w:rsid w:val="000D225C"/>
    <w:rsid w:val="000D2A5C"/>
    <w:rsid w:val="000D329E"/>
    <w:rsid w:val="000D529B"/>
    <w:rsid w:val="000E0918"/>
    <w:rsid w:val="000E187F"/>
    <w:rsid w:val="000E6ACD"/>
    <w:rsid w:val="001011C3"/>
    <w:rsid w:val="00110AE5"/>
    <w:rsid w:val="00110D87"/>
    <w:rsid w:val="00114DB9"/>
    <w:rsid w:val="00116087"/>
    <w:rsid w:val="00130296"/>
    <w:rsid w:val="001405D1"/>
    <w:rsid w:val="001409D8"/>
    <w:rsid w:val="001423B6"/>
    <w:rsid w:val="001448A7"/>
    <w:rsid w:val="00146621"/>
    <w:rsid w:val="0014690A"/>
    <w:rsid w:val="00154D20"/>
    <w:rsid w:val="001554D4"/>
    <w:rsid w:val="00161D0A"/>
    <w:rsid w:val="00162325"/>
    <w:rsid w:val="00171138"/>
    <w:rsid w:val="00174AA3"/>
    <w:rsid w:val="00194ADF"/>
    <w:rsid w:val="001951DA"/>
    <w:rsid w:val="00196B8E"/>
    <w:rsid w:val="001A2B8A"/>
    <w:rsid w:val="001C3269"/>
    <w:rsid w:val="001C5701"/>
    <w:rsid w:val="001D1DB4"/>
    <w:rsid w:val="001E31B1"/>
    <w:rsid w:val="001E5BDB"/>
    <w:rsid w:val="001E6579"/>
    <w:rsid w:val="00206A69"/>
    <w:rsid w:val="002252D9"/>
    <w:rsid w:val="002358C8"/>
    <w:rsid w:val="00247479"/>
    <w:rsid w:val="002534DC"/>
    <w:rsid w:val="002574F9"/>
    <w:rsid w:val="00260D5F"/>
    <w:rsid w:val="00262B4A"/>
    <w:rsid w:val="00262B61"/>
    <w:rsid w:val="0027341F"/>
    <w:rsid w:val="00276381"/>
    <w:rsid w:val="00276811"/>
    <w:rsid w:val="00282699"/>
    <w:rsid w:val="00283571"/>
    <w:rsid w:val="002926DF"/>
    <w:rsid w:val="00296697"/>
    <w:rsid w:val="002971A8"/>
    <w:rsid w:val="00297D51"/>
    <w:rsid w:val="002A02C3"/>
    <w:rsid w:val="002A516B"/>
    <w:rsid w:val="002A562F"/>
    <w:rsid w:val="002B0472"/>
    <w:rsid w:val="002B6B12"/>
    <w:rsid w:val="002E6140"/>
    <w:rsid w:val="002E6985"/>
    <w:rsid w:val="002E71B6"/>
    <w:rsid w:val="002F77C8"/>
    <w:rsid w:val="00304F22"/>
    <w:rsid w:val="00306C7C"/>
    <w:rsid w:val="00321A10"/>
    <w:rsid w:val="00321A9D"/>
    <w:rsid w:val="00322EDD"/>
    <w:rsid w:val="00331042"/>
    <w:rsid w:val="00332320"/>
    <w:rsid w:val="00332E9B"/>
    <w:rsid w:val="00332F68"/>
    <w:rsid w:val="003337C0"/>
    <w:rsid w:val="003367CB"/>
    <w:rsid w:val="00336C30"/>
    <w:rsid w:val="00347C1B"/>
    <w:rsid w:val="00347D61"/>
    <w:rsid w:val="00347D72"/>
    <w:rsid w:val="00357611"/>
    <w:rsid w:val="00362861"/>
    <w:rsid w:val="00367237"/>
    <w:rsid w:val="0037077F"/>
    <w:rsid w:val="00372411"/>
    <w:rsid w:val="00373882"/>
    <w:rsid w:val="0037600A"/>
    <w:rsid w:val="00380570"/>
    <w:rsid w:val="00384354"/>
    <w:rsid w:val="003843DB"/>
    <w:rsid w:val="0038669A"/>
    <w:rsid w:val="00391617"/>
    <w:rsid w:val="00393761"/>
    <w:rsid w:val="00397D18"/>
    <w:rsid w:val="003A1B36"/>
    <w:rsid w:val="003A28A5"/>
    <w:rsid w:val="003B1454"/>
    <w:rsid w:val="003B18B6"/>
    <w:rsid w:val="003B5763"/>
    <w:rsid w:val="003B756A"/>
    <w:rsid w:val="003C59E0"/>
    <w:rsid w:val="003C6C8D"/>
    <w:rsid w:val="003D241F"/>
    <w:rsid w:val="003D4F95"/>
    <w:rsid w:val="003D5F42"/>
    <w:rsid w:val="003D60A9"/>
    <w:rsid w:val="003E1DB9"/>
    <w:rsid w:val="003E40FE"/>
    <w:rsid w:val="003F4C97"/>
    <w:rsid w:val="003F7FE6"/>
    <w:rsid w:val="00400193"/>
    <w:rsid w:val="004212E7"/>
    <w:rsid w:val="0042446D"/>
    <w:rsid w:val="00427BF8"/>
    <w:rsid w:val="00431C02"/>
    <w:rsid w:val="004330FF"/>
    <w:rsid w:val="00437395"/>
    <w:rsid w:val="00445047"/>
    <w:rsid w:val="004458E8"/>
    <w:rsid w:val="00450942"/>
    <w:rsid w:val="004562B7"/>
    <w:rsid w:val="0046134A"/>
    <w:rsid w:val="00463E39"/>
    <w:rsid w:val="004657FC"/>
    <w:rsid w:val="00472466"/>
    <w:rsid w:val="004733F6"/>
    <w:rsid w:val="00474E69"/>
    <w:rsid w:val="004859EB"/>
    <w:rsid w:val="00492835"/>
    <w:rsid w:val="0049418A"/>
    <w:rsid w:val="0049621B"/>
    <w:rsid w:val="00496AD4"/>
    <w:rsid w:val="004A01C6"/>
    <w:rsid w:val="004A77B7"/>
    <w:rsid w:val="004B0DC7"/>
    <w:rsid w:val="004B340D"/>
    <w:rsid w:val="004B645A"/>
    <w:rsid w:val="004C0DF1"/>
    <w:rsid w:val="004C1895"/>
    <w:rsid w:val="004C6D40"/>
    <w:rsid w:val="004F06E4"/>
    <w:rsid w:val="004F0C3C"/>
    <w:rsid w:val="004F63FC"/>
    <w:rsid w:val="00504DAB"/>
    <w:rsid w:val="00505A92"/>
    <w:rsid w:val="005203F1"/>
    <w:rsid w:val="0052171B"/>
    <w:rsid w:val="00521BC3"/>
    <w:rsid w:val="00531F0E"/>
    <w:rsid w:val="00533632"/>
    <w:rsid w:val="005343E5"/>
    <w:rsid w:val="00537C37"/>
    <w:rsid w:val="00541E6E"/>
    <w:rsid w:val="0054251F"/>
    <w:rsid w:val="005429D3"/>
    <w:rsid w:val="00544708"/>
    <w:rsid w:val="00546162"/>
    <w:rsid w:val="005520D8"/>
    <w:rsid w:val="00553DB9"/>
    <w:rsid w:val="00554231"/>
    <w:rsid w:val="00556CF1"/>
    <w:rsid w:val="00563538"/>
    <w:rsid w:val="00570870"/>
    <w:rsid w:val="005762A7"/>
    <w:rsid w:val="005916D7"/>
    <w:rsid w:val="005A698C"/>
    <w:rsid w:val="005B5428"/>
    <w:rsid w:val="005D6BB9"/>
    <w:rsid w:val="005E0799"/>
    <w:rsid w:val="005E1CE8"/>
    <w:rsid w:val="005E2CC6"/>
    <w:rsid w:val="005E7CB2"/>
    <w:rsid w:val="005F5A0E"/>
    <w:rsid w:val="005F5A80"/>
    <w:rsid w:val="00603B96"/>
    <w:rsid w:val="006044FF"/>
    <w:rsid w:val="00606FFC"/>
    <w:rsid w:val="00607CC5"/>
    <w:rsid w:val="00611794"/>
    <w:rsid w:val="00616B18"/>
    <w:rsid w:val="006225F1"/>
    <w:rsid w:val="0062318A"/>
    <w:rsid w:val="00630278"/>
    <w:rsid w:val="00632C30"/>
    <w:rsid w:val="00633014"/>
    <w:rsid w:val="00633397"/>
    <w:rsid w:val="0063437B"/>
    <w:rsid w:val="006452AA"/>
    <w:rsid w:val="006673CA"/>
    <w:rsid w:val="00673C26"/>
    <w:rsid w:val="00677080"/>
    <w:rsid w:val="006812AF"/>
    <w:rsid w:val="00681A35"/>
    <w:rsid w:val="0068327D"/>
    <w:rsid w:val="00694AF0"/>
    <w:rsid w:val="006A4686"/>
    <w:rsid w:val="006B0E9E"/>
    <w:rsid w:val="006B41AE"/>
    <w:rsid w:val="006B5594"/>
    <w:rsid w:val="006B5AE4"/>
    <w:rsid w:val="006C731A"/>
    <w:rsid w:val="006D1507"/>
    <w:rsid w:val="006D19C3"/>
    <w:rsid w:val="006D4054"/>
    <w:rsid w:val="006E02EC"/>
    <w:rsid w:val="006E0F41"/>
    <w:rsid w:val="006E1B88"/>
    <w:rsid w:val="006E204A"/>
    <w:rsid w:val="006E5954"/>
    <w:rsid w:val="00706A6D"/>
    <w:rsid w:val="007204AC"/>
    <w:rsid w:val="007211B1"/>
    <w:rsid w:val="0072282E"/>
    <w:rsid w:val="00725C27"/>
    <w:rsid w:val="0073435A"/>
    <w:rsid w:val="00746187"/>
    <w:rsid w:val="0076254F"/>
    <w:rsid w:val="00780071"/>
    <w:rsid w:val="007801F5"/>
    <w:rsid w:val="00780BEE"/>
    <w:rsid w:val="007816E5"/>
    <w:rsid w:val="00783CA4"/>
    <w:rsid w:val="007842FB"/>
    <w:rsid w:val="00786124"/>
    <w:rsid w:val="0079514B"/>
    <w:rsid w:val="007A2DC1"/>
    <w:rsid w:val="007B21D4"/>
    <w:rsid w:val="007B6948"/>
    <w:rsid w:val="007B7E28"/>
    <w:rsid w:val="007D3319"/>
    <w:rsid w:val="007D335D"/>
    <w:rsid w:val="007D6ADE"/>
    <w:rsid w:val="007E3314"/>
    <w:rsid w:val="007E4B03"/>
    <w:rsid w:val="007F10E8"/>
    <w:rsid w:val="007F324B"/>
    <w:rsid w:val="00801137"/>
    <w:rsid w:val="00804F03"/>
    <w:rsid w:val="0080553C"/>
    <w:rsid w:val="00805B46"/>
    <w:rsid w:val="008135C1"/>
    <w:rsid w:val="008202F7"/>
    <w:rsid w:val="00825DC2"/>
    <w:rsid w:val="00834AD3"/>
    <w:rsid w:val="00843795"/>
    <w:rsid w:val="00847F0F"/>
    <w:rsid w:val="00852448"/>
    <w:rsid w:val="008549A4"/>
    <w:rsid w:val="00875F9C"/>
    <w:rsid w:val="0088258A"/>
    <w:rsid w:val="00886332"/>
    <w:rsid w:val="00896B33"/>
    <w:rsid w:val="008A0002"/>
    <w:rsid w:val="008A26D9"/>
    <w:rsid w:val="008A3C0D"/>
    <w:rsid w:val="008C0C29"/>
    <w:rsid w:val="008C1974"/>
    <w:rsid w:val="008C60EB"/>
    <w:rsid w:val="008C7AE9"/>
    <w:rsid w:val="008D77F3"/>
    <w:rsid w:val="008E2AF5"/>
    <w:rsid w:val="008E4767"/>
    <w:rsid w:val="008F3638"/>
    <w:rsid w:val="008F4441"/>
    <w:rsid w:val="008F6F31"/>
    <w:rsid w:val="008F74DF"/>
    <w:rsid w:val="00901104"/>
    <w:rsid w:val="00911F6B"/>
    <w:rsid w:val="009127BA"/>
    <w:rsid w:val="009130C6"/>
    <w:rsid w:val="0091462B"/>
    <w:rsid w:val="009227A6"/>
    <w:rsid w:val="00933EC1"/>
    <w:rsid w:val="00935C0A"/>
    <w:rsid w:val="00941CE3"/>
    <w:rsid w:val="0094233E"/>
    <w:rsid w:val="009530DB"/>
    <w:rsid w:val="00953676"/>
    <w:rsid w:val="009552AA"/>
    <w:rsid w:val="00955CC2"/>
    <w:rsid w:val="0095723A"/>
    <w:rsid w:val="00963AA9"/>
    <w:rsid w:val="00966435"/>
    <w:rsid w:val="009705EE"/>
    <w:rsid w:val="00977927"/>
    <w:rsid w:val="0098135C"/>
    <w:rsid w:val="0098156A"/>
    <w:rsid w:val="009824D8"/>
    <w:rsid w:val="00991BAC"/>
    <w:rsid w:val="009A6EA0"/>
    <w:rsid w:val="009B5D2C"/>
    <w:rsid w:val="009B5F4B"/>
    <w:rsid w:val="009C1335"/>
    <w:rsid w:val="009C151F"/>
    <w:rsid w:val="009C1AB2"/>
    <w:rsid w:val="009C2F0C"/>
    <w:rsid w:val="009C7251"/>
    <w:rsid w:val="009D0103"/>
    <w:rsid w:val="009D0204"/>
    <w:rsid w:val="009D4FDE"/>
    <w:rsid w:val="009E2E91"/>
    <w:rsid w:val="009E5686"/>
    <w:rsid w:val="009F4003"/>
    <w:rsid w:val="00A136CC"/>
    <w:rsid w:val="00A139F5"/>
    <w:rsid w:val="00A2119D"/>
    <w:rsid w:val="00A24B36"/>
    <w:rsid w:val="00A24C89"/>
    <w:rsid w:val="00A26F24"/>
    <w:rsid w:val="00A341F2"/>
    <w:rsid w:val="00A365EB"/>
    <w:rsid w:val="00A365F4"/>
    <w:rsid w:val="00A43C83"/>
    <w:rsid w:val="00A47D80"/>
    <w:rsid w:val="00A53132"/>
    <w:rsid w:val="00A563F2"/>
    <w:rsid w:val="00A566E8"/>
    <w:rsid w:val="00A6065F"/>
    <w:rsid w:val="00A7224C"/>
    <w:rsid w:val="00A810F9"/>
    <w:rsid w:val="00A81152"/>
    <w:rsid w:val="00A829E3"/>
    <w:rsid w:val="00A86ECC"/>
    <w:rsid w:val="00A86FCC"/>
    <w:rsid w:val="00A93310"/>
    <w:rsid w:val="00AA6402"/>
    <w:rsid w:val="00AA710D"/>
    <w:rsid w:val="00AB00B2"/>
    <w:rsid w:val="00AB0FA1"/>
    <w:rsid w:val="00AB489B"/>
    <w:rsid w:val="00AB6D25"/>
    <w:rsid w:val="00AC2E14"/>
    <w:rsid w:val="00AC59A5"/>
    <w:rsid w:val="00AD448C"/>
    <w:rsid w:val="00AE2D4B"/>
    <w:rsid w:val="00AE4F99"/>
    <w:rsid w:val="00AF379A"/>
    <w:rsid w:val="00B04521"/>
    <w:rsid w:val="00B05570"/>
    <w:rsid w:val="00B11B69"/>
    <w:rsid w:val="00B14952"/>
    <w:rsid w:val="00B173BE"/>
    <w:rsid w:val="00B2001F"/>
    <w:rsid w:val="00B24436"/>
    <w:rsid w:val="00B31E5A"/>
    <w:rsid w:val="00B343F8"/>
    <w:rsid w:val="00B45636"/>
    <w:rsid w:val="00B617F6"/>
    <w:rsid w:val="00B653AB"/>
    <w:rsid w:val="00B65F9E"/>
    <w:rsid w:val="00B66B19"/>
    <w:rsid w:val="00B74982"/>
    <w:rsid w:val="00B77BFF"/>
    <w:rsid w:val="00B912C0"/>
    <w:rsid w:val="00B914E9"/>
    <w:rsid w:val="00B956A6"/>
    <w:rsid w:val="00B956EE"/>
    <w:rsid w:val="00BA2BA1"/>
    <w:rsid w:val="00BA3562"/>
    <w:rsid w:val="00BA388D"/>
    <w:rsid w:val="00BB10B1"/>
    <w:rsid w:val="00BB4F09"/>
    <w:rsid w:val="00BB7A38"/>
    <w:rsid w:val="00BD4E33"/>
    <w:rsid w:val="00BF24E9"/>
    <w:rsid w:val="00BF43CA"/>
    <w:rsid w:val="00BF4781"/>
    <w:rsid w:val="00BF75B6"/>
    <w:rsid w:val="00BF7A9A"/>
    <w:rsid w:val="00C0007E"/>
    <w:rsid w:val="00C030DE"/>
    <w:rsid w:val="00C15603"/>
    <w:rsid w:val="00C165A0"/>
    <w:rsid w:val="00C21167"/>
    <w:rsid w:val="00C22105"/>
    <w:rsid w:val="00C2409D"/>
    <w:rsid w:val="00C244B6"/>
    <w:rsid w:val="00C3702F"/>
    <w:rsid w:val="00C4500A"/>
    <w:rsid w:val="00C61815"/>
    <w:rsid w:val="00C64A37"/>
    <w:rsid w:val="00C7158E"/>
    <w:rsid w:val="00C7250B"/>
    <w:rsid w:val="00C7346B"/>
    <w:rsid w:val="00C754B4"/>
    <w:rsid w:val="00C77C0E"/>
    <w:rsid w:val="00C818FB"/>
    <w:rsid w:val="00C82916"/>
    <w:rsid w:val="00C85BC9"/>
    <w:rsid w:val="00C91687"/>
    <w:rsid w:val="00C924A8"/>
    <w:rsid w:val="00C945FE"/>
    <w:rsid w:val="00C95AD2"/>
    <w:rsid w:val="00C96FAA"/>
    <w:rsid w:val="00C97A04"/>
    <w:rsid w:val="00CA107B"/>
    <w:rsid w:val="00CA3976"/>
    <w:rsid w:val="00CA484D"/>
    <w:rsid w:val="00CA4FB6"/>
    <w:rsid w:val="00CA59E7"/>
    <w:rsid w:val="00CB3BC4"/>
    <w:rsid w:val="00CC2F7C"/>
    <w:rsid w:val="00CC739E"/>
    <w:rsid w:val="00CD58B7"/>
    <w:rsid w:val="00CD5ECD"/>
    <w:rsid w:val="00CD677D"/>
    <w:rsid w:val="00CE430C"/>
    <w:rsid w:val="00CF4099"/>
    <w:rsid w:val="00CF512A"/>
    <w:rsid w:val="00D00796"/>
    <w:rsid w:val="00D053DB"/>
    <w:rsid w:val="00D05595"/>
    <w:rsid w:val="00D10057"/>
    <w:rsid w:val="00D118D9"/>
    <w:rsid w:val="00D261A2"/>
    <w:rsid w:val="00D445A9"/>
    <w:rsid w:val="00D616D2"/>
    <w:rsid w:val="00D63B5F"/>
    <w:rsid w:val="00D70EF7"/>
    <w:rsid w:val="00D8397C"/>
    <w:rsid w:val="00D84C8E"/>
    <w:rsid w:val="00D908A5"/>
    <w:rsid w:val="00D94EED"/>
    <w:rsid w:val="00D96026"/>
    <w:rsid w:val="00DA7C1C"/>
    <w:rsid w:val="00DB0F4E"/>
    <w:rsid w:val="00DB147A"/>
    <w:rsid w:val="00DB1B7A"/>
    <w:rsid w:val="00DC6708"/>
    <w:rsid w:val="00DC6D5D"/>
    <w:rsid w:val="00DC735B"/>
    <w:rsid w:val="00DE18DB"/>
    <w:rsid w:val="00DF077F"/>
    <w:rsid w:val="00DF5DFD"/>
    <w:rsid w:val="00E01436"/>
    <w:rsid w:val="00E045BD"/>
    <w:rsid w:val="00E11D99"/>
    <w:rsid w:val="00E12533"/>
    <w:rsid w:val="00E17B77"/>
    <w:rsid w:val="00E23337"/>
    <w:rsid w:val="00E259EA"/>
    <w:rsid w:val="00E27753"/>
    <w:rsid w:val="00E32061"/>
    <w:rsid w:val="00E33E8C"/>
    <w:rsid w:val="00E348EB"/>
    <w:rsid w:val="00E35F6F"/>
    <w:rsid w:val="00E36402"/>
    <w:rsid w:val="00E42DD5"/>
    <w:rsid w:val="00E42FF9"/>
    <w:rsid w:val="00E4714C"/>
    <w:rsid w:val="00E51AEB"/>
    <w:rsid w:val="00E522A7"/>
    <w:rsid w:val="00E54452"/>
    <w:rsid w:val="00E631B2"/>
    <w:rsid w:val="00E658D5"/>
    <w:rsid w:val="00E664C5"/>
    <w:rsid w:val="00E671A2"/>
    <w:rsid w:val="00E76982"/>
    <w:rsid w:val="00E76D26"/>
    <w:rsid w:val="00E90264"/>
    <w:rsid w:val="00E9674F"/>
    <w:rsid w:val="00EA7820"/>
    <w:rsid w:val="00EB1390"/>
    <w:rsid w:val="00EB2C71"/>
    <w:rsid w:val="00EB4340"/>
    <w:rsid w:val="00EB556D"/>
    <w:rsid w:val="00EB5A7D"/>
    <w:rsid w:val="00EB752B"/>
    <w:rsid w:val="00EC54C6"/>
    <w:rsid w:val="00ED55C0"/>
    <w:rsid w:val="00ED60A6"/>
    <w:rsid w:val="00ED682B"/>
    <w:rsid w:val="00EE41D5"/>
    <w:rsid w:val="00F037A4"/>
    <w:rsid w:val="00F06594"/>
    <w:rsid w:val="00F21AA3"/>
    <w:rsid w:val="00F25E25"/>
    <w:rsid w:val="00F27C8F"/>
    <w:rsid w:val="00F3112F"/>
    <w:rsid w:val="00F32749"/>
    <w:rsid w:val="00F37172"/>
    <w:rsid w:val="00F37BC8"/>
    <w:rsid w:val="00F4452E"/>
    <w:rsid w:val="00F4477E"/>
    <w:rsid w:val="00F449E3"/>
    <w:rsid w:val="00F4546F"/>
    <w:rsid w:val="00F522F8"/>
    <w:rsid w:val="00F57295"/>
    <w:rsid w:val="00F67D8F"/>
    <w:rsid w:val="00F802BE"/>
    <w:rsid w:val="00F80E93"/>
    <w:rsid w:val="00F86024"/>
    <w:rsid w:val="00F8611A"/>
    <w:rsid w:val="00F977D4"/>
    <w:rsid w:val="00FA0071"/>
    <w:rsid w:val="00FA0C2B"/>
    <w:rsid w:val="00FA5128"/>
    <w:rsid w:val="00FB1F84"/>
    <w:rsid w:val="00FB26FC"/>
    <w:rsid w:val="00FB42D4"/>
    <w:rsid w:val="00FB5906"/>
    <w:rsid w:val="00FB762F"/>
    <w:rsid w:val="00FC2AED"/>
    <w:rsid w:val="00FD2CF9"/>
    <w:rsid w:val="00FD5EA7"/>
    <w:rsid w:val="00FF29E0"/>
    <w:rsid w:val="00FF4EA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eaeaea,#f8f8f8"/>
    </o:shapedefaults>
    <o:shapelayout v:ext="edit">
      <o:idmap v:ext="edit" data="1"/>
    </o:shapelayout>
  </w:shapeDefaults>
  <w:decimalSymbol w:val=","/>
  <w:listSeparator w:val=";"/>
  <w15:docId w15:val="{3747BECE-C59D-4079-8BFF-479DAD00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45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oter" Target="footer2.xml"/><Relationship Id="rId39" Type="http://schemas.openxmlformats.org/officeDocument/2006/relationships/hyperlink" Target="http://stat.gov.pl/metainformacje/slownik-pojec/pojecia-stosowane-w-statystyce-publicznej/3137,pojecie.html" TargetMode="External"/><Relationship Id="rId21" Type="http://schemas.openxmlformats.org/officeDocument/2006/relationships/chart" Target="charts/chart11.xml"/><Relationship Id="rId34" Type="http://schemas.openxmlformats.org/officeDocument/2006/relationships/hyperlink" Target="http://stat.gov.pl/metainformacje/slownik-pojec/pojecia-stosowane-w-statystyce-publicznej/3137,pojecie.html" TargetMode="External"/><Relationship Id="rId42" Type="http://schemas.openxmlformats.org/officeDocument/2006/relationships/hyperlink" Target="http://stat.gov.pl/metainformacje/slownik-pojec/pojecia-stosowane-w-statystyce-publicznej/313,pojecie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9" Type="http://schemas.openxmlformats.org/officeDocument/2006/relationships/hyperlink" Target="mailto:obslugaprasowa@stat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footer" Target="footer1.xml"/><Relationship Id="rId32" Type="http://schemas.openxmlformats.org/officeDocument/2006/relationships/image" Target="media/image6.png"/><Relationship Id="rId37" Type="http://schemas.openxmlformats.org/officeDocument/2006/relationships/hyperlink" Target="http://stat.gov.pl/metainformacje/slownik-pojec/pojecia-stosowane-w-statystyce-publicznej/313,pojecie.html" TargetMode="External"/><Relationship Id="rId40" Type="http://schemas.openxmlformats.org/officeDocument/2006/relationships/hyperlink" Target="http://stat.gov.pl/metainformacje/slownik-pojec/pojecia-stosowane-w-statystyce-publicznej/1064,pojecie.html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header" Target="header1.xml"/><Relationship Id="rId28" Type="http://schemas.openxmlformats.org/officeDocument/2006/relationships/hyperlink" Target="mailto:rzecznik@stat.gov.pl" TargetMode="External"/><Relationship Id="rId36" Type="http://schemas.openxmlformats.org/officeDocument/2006/relationships/hyperlink" Target="http://stat.gov.pl/metainformacje/slownik-pojec/pojecia-stosowane-w-statystyce-publicznej/2076,pojecie.html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9.xml"/><Relationship Id="rId31" Type="http://schemas.openxmlformats.org/officeDocument/2006/relationships/image" Target="media/image5.png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hyperlink" Target="mailto:A.Majcher@stat.gov.pl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://stat.gov.pl/metainformacje/slownik-pojec/pojecia-stosowane-w-statystyce-publicznej/1064,pojecie.html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eader" Target="header2.xml"/><Relationship Id="rId33" Type="http://schemas.openxmlformats.org/officeDocument/2006/relationships/hyperlink" Target="http://stat.gov.pl/obszary-tematyczne/rolnictwo-lesnictwo/rolnictwo/rolnictwo-w-2016-roku,3,13.html" TargetMode="External"/><Relationship Id="rId38" Type="http://schemas.openxmlformats.org/officeDocument/2006/relationships/hyperlink" Target="http://stat.gov.pl/obszary-tematyczne/rolnictwo-lesnictwo/rolnictwo/rolnictwo-w-2016-roku,3,13.html" TargetMode="External"/><Relationship Id="rId46" Type="http://schemas.openxmlformats.org/officeDocument/2006/relationships/theme" Target="theme/theme1.xml"/><Relationship Id="rId20" Type="http://schemas.openxmlformats.org/officeDocument/2006/relationships/chart" Target="charts/chart10.xml"/><Relationship Id="rId41" Type="http://schemas.openxmlformats.org/officeDocument/2006/relationships/hyperlink" Target="http://stat.gov.pl/metainformacje/slownik-pojec/pojecia-stosowane-w-statystyce-publicznej/2076,pojecie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C742.176C9F80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8\wykres_1_2_I_edycja_2018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majcheran\Documents\koniunktura\Raport_z_wynik&#243;w\2018\wykresy_od_5_do_11_gosp_og&#243;&#322;em_I_edycja_2018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majcheran\Documents\koniunktura\Raport_z_wynik&#243;w\2018\wykresy_od_5_do_11_gosp_og&#243;&#322;em_I_edycja_201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8\wykresy_3_4_12_I_edycja_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8\wykres_1_2_I_edycja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8\wykresy_3_4_12_I_edycja_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cheran\Documents\koniunktura\Raport_z_wynik&#243;w\2018\wykresy_3_4_12_I_edycja_2018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jcheran\Documents\koniunktura\Raport_z_wynik&#243;w\2018\wykresy_od_5_do_11_gosp_og&#243;&#322;em_I_edycja_2018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majcheran\Documents\koniunktura\Raport_z_wynik&#243;w\2018\wykresy_od_5_do_11_gosp_og&#243;&#322;em_I_edycja_2018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majcheran\Documents\koniunktura\Raport_z_wynik&#243;w\2018\wykresy_od_5_do_11_gosp_og&#243;&#322;em_I_edycja_2018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majcheran\Documents\koniunktura\Raport_z_wynik&#243;w\2018\wykresy_od_5_do_11_gosp_og&#243;&#322;em_I_edycja_2018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majcheran\Documents\koniunktura\Raport_z_wynik&#243;w\2018\wykresy_od_5_do_11_gosp_og&#243;&#322;em_I_edycja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128953771292E-2"/>
          <c:y val="0.11387469423464945"/>
          <c:w val="0.76464394505431554"/>
          <c:h val="0.758580177477815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wykres_1!$B$3</c:f>
              <c:strCache>
                <c:ptCount val="1"/>
                <c:pt idx="0">
                  <c:v>bieżąca ogólna sytuacja gospodarstw rolnych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wykres_1!$A$4:$A$13</c:f>
              <c:strCache>
                <c:ptCount val="10"/>
                <c:pt idx="0">
                  <c:v>ogółem </c:v>
                </c:pt>
                <c:pt idx="1">
                  <c:v>do 2 </c:v>
                </c:pt>
                <c:pt idx="2">
                  <c:v>2-5</c:v>
                </c:pt>
                <c:pt idx="3">
                  <c:v>5-10</c:v>
                </c:pt>
                <c:pt idx="4">
                  <c:v>10-15</c:v>
                </c:pt>
                <c:pt idx="5">
                  <c:v>15-20</c:v>
                </c:pt>
                <c:pt idx="6">
                  <c:v>20-30</c:v>
                </c:pt>
                <c:pt idx="7">
                  <c:v>30-50</c:v>
                </c:pt>
                <c:pt idx="8">
                  <c:v>50-100</c:v>
                </c:pt>
                <c:pt idx="9">
                  <c:v>100 i więcej</c:v>
                </c:pt>
              </c:strCache>
            </c:strRef>
          </c:cat>
          <c:val>
            <c:numRef>
              <c:f>wykres_1!$B$4:$B$13</c:f>
              <c:numCache>
                <c:formatCode>0.0</c:formatCode>
                <c:ptCount val="10"/>
                <c:pt idx="0">
                  <c:v>-31.6</c:v>
                </c:pt>
                <c:pt idx="1">
                  <c:v>-29.2</c:v>
                </c:pt>
                <c:pt idx="2">
                  <c:v>-29.2</c:v>
                </c:pt>
                <c:pt idx="3">
                  <c:v>-35</c:v>
                </c:pt>
                <c:pt idx="4">
                  <c:v>-30.6</c:v>
                </c:pt>
                <c:pt idx="5">
                  <c:v>-28.4</c:v>
                </c:pt>
                <c:pt idx="6">
                  <c:v>-31.9</c:v>
                </c:pt>
                <c:pt idx="7">
                  <c:v>-29.4</c:v>
                </c:pt>
                <c:pt idx="8">
                  <c:v>-28.6</c:v>
                </c:pt>
                <c:pt idx="9">
                  <c:v>-35</c:v>
                </c:pt>
              </c:numCache>
            </c:numRef>
          </c:val>
        </c:ser>
        <c:ser>
          <c:idx val="1"/>
          <c:order val="1"/>
          <c:tx>
            <c:strRef>
              <c:f>wykres_1!$C$3</c:f>
              <c:strCache>
                <c:ptCount val="1"/>
                <c:pt idx="0">
                  <c:v>prognozowana ogólna sytuacja gospodarstw rolnych</c:v>
                </c:pt>
              </c:strCache>
            </c:strRef>
          </c:tx>
          <c:spPr>
            <a:solidFill>
              <a:srgbClr val="70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wykres_1!$A$4:$A$13</c:f>
              <c:strCache>
                <c:ptCount val="10"/>
                <c:pt idx="0">
                  <c:v>ogółem </c:v>
                </c:pt>
                <c:pt idx="1">
                  <c:v>do 2 </c:v>
                </c:pt>
                <c:pt idx="2">
                  <c:v>2-5</c:v>
                </c:pt>
                <c:pt idx="3">
                  <c:v>5-10</c:v>
                </c:pt>
                <c:pt idx="4">
                  <c:v>10-15</c:v>
                </c:pt>
                <c:pt idx="5">
                  <c:v>15-20</c:v>
                </c:pt>
                <c:pt idx="6">
                  <c:v>20-30</c:v>
                </c:pt>
                <c:pt idx="7">
                  <c:v>30-50</c:v>
                </c:pt>
                <c:pt idx="8">
                  <c:v>50-100</c:v>
                </c:pt>
                <c:pt idx="9">
                  <c:v>100 i więcej</c:v>
                </c:pt>
              </c:strCache>
            </c:strRef>
          </c:cat>
          <c:val>
            <c:numRef>
              <c:f>wykres_1!$C$4:$C$13</c:f>
              <c:numCache>
                <c:formatCode>0.0</c:formatCode>
                <c:ptCount val="10"/>
                <c:pt idx="0">
                  <c:v>-22.6</c:v>
                </c:pt>
                <c:pt idx="1">
                  <c:v>-13.1</c:v>
                </c:pt>
                <c:pt idx="2">
                  <c:v>-20.5</c:v>
                </c:pt>
                <c:pt idx="3">
                  <c:v>-23.5</c:v>
                </c:pt>
                <c:pt idx="4">
                  <c:v>-25</c:v>
                </c:pt>
                <c:pt idx="5">
                  <c:v>-22.5</c:v>
                </c:pt>
                <c:pt idx="6">
                  <c:v>-20.3</c:v>
                </c:pt>
                <c:pt idx="7">
                  <c:v>-20.5</c:v>
                </c:pt>
                <c:pt idx="8">
                  <c:v>-23.9</c:v>
                </c:pt>
                <c:pt idx="9">
                  <c:v>-31.8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axId val="1549786416"/>
        <c:axId val="1549778800"/>
      </c:barChart>
      <c:catAx>
        <c:axId val="1549786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ha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i="0" baseline="0">
                <a:latin typeface="Fira Sans" pitchFamily="34" charset="0"/>
              </a:defRPr>
            </a:pPr>
            <a:endParaRPr lang="pl-PL"/>
          </a:p>
        </c:txPr>
        <c:crossAx val="1549778800"/>
        <c:crosses val="autoZero"/>
        <c:auto val="1"/>
        <c:lblAlgn val="ctr"/>
        <c:lblOffset val="0"/>
        <c:noMultiLvlLbl val="0"/>
      </c:catAx>
      <c:valAx>
        <c:axId val="1549778800"/>
        <c:scaling>
          <c:orientation val="minMax"/>
          <c:max val="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 b="1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="1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 b="1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2.435197425139381E-2"/>
              <c:y val="8.6060670987555515E-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</a:defRPr>
            </a:pPr>
            <a:endParaRPr lang="pl-PL"/>
          </a:p>
        </c:txPr>
        <c:crossAx val="154978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019177347357754"/>
          <c:y val="7.7962339176267922E-2"/>
          <c:w val="0.15677107879763241"/>
          <c:h val="0.70238566228267785"/>
        </c:manualLayout>
      </c:layout>
      <c:overlay val="0"/>
      <c:txPr>
        <a:bodyPr/>
        <a:lstStyle/>
        <a:p>
          <a:pPr>
            <a:defRPr sz="800" b="0" i="0" baseline="0">
              <a:latin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273016446834283E-2"/>
          <c:y val="0.11704834605597966"/>
          <c:w val="0.90368422612550237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opłacalność_bieżąca!$A$4</c:f>
              <c:strCache>
                <c:ptCount val="1"/>
                <c:pt idx="0">
                  <c:v>opłacalna</c:v>
                </c:pt>
              </c:strCache>
            </c:strRef>
          </c:tx>
          <c:spPr>
            <a:ln>
              <a:solidFill>
                <a:srgbClr val="001D77"/>
              </a:solidFill>
            </a:ln>
          </c:spPr>
          <c:marker>
            <c:symbol val="none"/>
          </c:marker>
          <c:cat>
            <c:strRef>
              <c:f>opłacalność_bieżąca!$B$3:$L$3</c:f>
              <c:strCache>
                <c:ptCount val="11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</c:strCache>
            </c:strRef>
          </c:cat>
          <c:val>
            <c:numRef>
              <c:f>opłacalność_bieżąca!$B$4:$L$4</c:f>
              <c:numCache>
                <c:formatCode>0.0</c:formatCode>
                <c:ptCount val="11"/>
                <c:pt idx="0">
                  <c:v>17.2</c:v>
                </c:pt>
                <c:pt idx="1">
                  <c:v>18.2</c:v>
                </c:pt>
                <c:pt idx="2">
                  <c:v>18.7</c:v>
                </c:pt>
                <c:pt idx="3" formatCode="General">
                  <c:v>11</c:v>
                </c:pt>
                <c:pt idx="4" formatCode="General">
                  <c:v>9.6</c:v>
                </c:pt>
                <c:pt idx="5" formatCode="General">
                  <c:v>10.1</c:v>
                </c:pt>
                <c:pt idx="6">
                  <c:v>13.5</c:v>
                </c:pt>
                <c:pt idx="7" formatCode="General">
                  <c:v>18.7</c:v>
                </c:pt>
                <c:pt idx="8">
                  <c:v>23.3</c:v>
                </c:pt>
                <c:pt idx="9">
                  <c:v>22</c:v>
                </c:pt>
                <c:pt idx="10" formatCode="General">
                  <c:v>12.8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opłacalność_bieżąca!$A$5</c:f>
              <c:strCache>
                <c:ptCount val="1"/>
                <c:pt idx="0">
                  <c:v>brak  opinii</c:v>
                </c:pt>
              </c:strCache>
            </c:strRef>
          </c:tx>
          <c:spPr>
            <a:ln>
              <a:solidFill>
                <a:srgbClr val="99CAE9"/>
              </a:solidFill>
              <a:prstDash val="sysDash"/>
            </a:ln>
          </c:spPr>
          <c:marker>
            <c:symbol val="none"/>
          </c:marker>
          <c:cat>
            <c:strRef>
              <c:f>opłacalność_bieżąca!$B$3:$L$3</c:f>
              <c:strCache>
                <c:ptCount val="11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</c:strCache>
            </c:strRef>
          </c:cat>
          <c:val>
            <c:numRef>
              <c:f>opłacalność_bieżąca!$B$5:$L$5</c:f>
              <c:numCache>
                <c:formatCode>0.0</c:formatCode>
                <c:ptCount val="11"/>
                <c:pt idx="0">
                  <c:v>56.1</c:v>
                </c:pt>
                <c:pt idx="1">
                  <c:v>59.3</c:v>
                </c:pt>
                <c:pt idx="2">
                  <c:v>58.2</c:v>
                </c:pt>
                <c:pt idx="3" formatCode="General">
                  <c:v>53.7</c:v>
                </c:pt>
                <c:pt idx="4" formatCode="General">
                  <c:v>47.3</c:v>
                </c:pt>
                <c:pt idx="5" formatCode="General">
                  <c:v>49.6</c:v>
                </c:pt>
                <c:pt idx="6">
                  <c:v>53.6</c:v>
                </c:pt>
                <c:pt idx="7" formatCode="General">
                  <c:v>60.1</c:v>
                </c:pt>
                <c:pt idx="8">
                  <c:v>58.7</c:v>
                </c:pt>
                <c:pt idx="9">
                  <c:v>58.5</c:v>
                </c:pt>
                <c:pt idx="10" formatCode="General">
                  <c:v>52.8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opłacalność_bieżąca!$A$6</c:f>
              <c:strCache>
                <c:ptCount val="1"/>
                <c:pt idx="0">
                  <c:v>nieopłacalna</c:v>
                </c:pt>
              </c:strCache>
            </c:strRef>
          </c:tx>
          <c:spPr>
            <a:ln w="25400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opłacalność_bieżąca!$B$3:$L$3</c:f>
              <c:strCache>
                <c:ptCount val="11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</c:strCache>
            </c:strRef>
          </c:cat>
          <c:val>
            <c:numRef>
              <c:f>opłacalność_bieżąca!$B$6:$L$6</c:f>
              <c:numCache>
                <c:formatCode>0.0</c:formatCode>
                <c:ptCount val="11"/>
                <c:pt idx="0">
                  <c:v>26.7</c:v>
                </c:pt>
                <c:pt idx="1">
                  <c:v>22.5</c:v>
                </c:pt>
                <c:pt idx="2">
                  <c:v>23.1</c:v>
                </c:pt>
                <c:pt idx="3" formatCode="General">
                  <c:v>35.300000000000004</c:v>
                </c:pt>
                <c:pt idx="4" formatCode="General">
                  <c:v>43.1</c:v>
                </c:pt>
                <c:pt idx="5" formatCode="General">
                  <c:v>40.300000000000004</c:v>
                </c:pt>
                <c:pt idx="6">
                  <c:v>32.9</c:v>
                </c:pt>
                <c:pt idx="7" formatCode="General">
                  <c:v>21.2</c:v>
                </c:pt>
                <c:pt idx="8">
                  <c:v>18</c:v>
                </c:pt>
                <c:pt idx="9">
                  <c:v>19.5</c:v>
                </c:pt>
                <c:pt idx="10" formatCode="General">
                  <c:v>34.4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0642784"/>
        <c:axId val="1550648768"/>
      </c:lineChart>
      <c:catAx>
        <c:axId val="1550642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50648768"/>
        <c:crosses val="autoZero"/>
        <c:auto val="1"/>
        <c:lblAlgn val="ctr"/>
        <c:lblOffset val="100"/>
        <c:noMultiLvlLbl val="0"/>
      </c:catAx>
      <c:valAx>
        <c:axId val="1550648768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50642784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8.0417804025331909E-3"/>
          <c:y val="0.89991184308068362"/>
          <c:w val="0.96526803976876441"/>
          <c:h val="9.0029117454068233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ea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28313021322225E-2"/>
          <c:y val="0.10183926628943246"/>
          <c:w val="0.88512878872611656"/>
          <c:h val="0.68494675808109562"/>
        </c:manualLayout>
      </c:layout>
      <c:lineChart>
        <c:grouping val="standard"/>
        <c:varyColors val="0"/>
        <c:ser>
          <c:idx val="0"/>
          <c:order val="0"/>
          <c:tx>
            <c:strRef>
              <c:f>opłacalność_prognoza!$A$4</c:f>
              <c:strCache>
                <c:ptCount val="1"/>
                <c:pt idx="0">
                  <c:v>poprawi się</c:v>
                </c:pt>
              </c:strCache>
            </c:strRef>
          </c:tx>
          <c:spPr>
            <a:ln>
              <a:solidFill>
                <a:srgbClr val="001D77"/>
              </a:solidFill>
            </a:ln>
          </c:spPr>
          <c:marker>
            <c:symbol val="none"/>
          </c:marker>
          <c:cat>
            <c:strRef>
              <c:f>opłacalność_prognoza!$B$3:$L$3</c:f>
              <c:strCache>
                <c:ptCount val="11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</c:strCache>
            </c:strRef>
          </c:cat>
          <c:val>
            <c:numRef>
              <c:f>opłacalność_prognoza!$B$4:$L$4</c:f>
              <c:numCache>
                <c:formatCode>0.0</c:formatCode>
                <c:ptCount val="11"/>
                <c:pt idx="0">
                  <c:v>6.7</c:v>
                </c:pt>
                <c:pt idx="1">
                  <c:v>8</c:v>
                </c:pt>
                <c:pt idx="2">
                  <c:v>7.4</c:v>
                </c:pt>
                <c:pt idx="3" formatCode="General">
                  <c:v>5.4</c:v>
                </c:pt>
                <c:pt idx="4" formatCode="General">
                  <c:v>7.8</c:v>
                </c:pt>
                <c:pt idx="5" formatCode="General">
                  <c:v>8.5</c:v>
                </c:pt>
                <c:pt idx="6">
                  <c:v>11.2</c:v>
                </c:pt>
                <c:pt idx="7" formatCode="General">
                  <c:v>12.1</c:v>
                </c:pt>
                <c:pt idx="8" formatCode="General">
                  <c:v>13.1</c:v>
                </c:pt>
                <c:pt idx="9" formatCode="General">
                  <c:v>10.3</c:v>
                </c:pt>
                <c:pt idx="10">
                  <c:v>9.1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opłacalność_prognoza!$A$5</c:f>
              <c:strCache>
                <c:ptCount val="1"/>
                <c:pt idx="0">
                  <c:v>pozostanie bez zmian</c:v>
                </c:pt>
              </c:strCache>
            </c:strRef>
          </c:tx>
          <c:spPr>
            <a:ln w="28575">
              <a:solidFill>
                <a:srgbClr val="99CAE9"/>
              </a:solidFill>
              <a:prstDash val="sysDash"/>
            </a:ln>
          </c:spPr>
          <c:marker>
            <c:symbol val="none"/>
          </c:marker>
          <c:cat>
            <c:strRef>
              <c:f>opłacalność_prognoza!$B$3:$L$3</c:f>
              <c:strCache>
                <c:ptCount val="11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</c:strCache>
            </c:strRef>
          </c:cat>
          <c:val>
            <c:numRef>
              <c:f>opłacalność_prognoza!$B$5:$L$5</c:f>
              <c:numCache>
                <c:formatCode>0.0</c:formatCode>
                <c:ptCount val="11"/>
                <c:pt idx="0">
                  <c:v>67.5</c:v>
                </c:pt>
                <c:pt idx="1">
                  <c:v>74.3</c:v>
                </c:pt>
                <c:pt idx="2">
                  <c:v>74.400000000000006</c:v>
                </c:pt>
                <c:pt idx="3">
                  <c:v>68</c:v>
                </c:pt>
                <c:pt idx="4" formatCode="General">
                  <c:v>56.6</c:v>
                </c:pt>
                <c:pt idx="5" formatCode="General">
                  <c:v>67.400000000000006</c:v>
                </c:pt>
                <c:pt idx="6">
                  <c:v>61.3</c:v>
                </c:pt>
                <c:pt idx="7" formatCode="General">
                  <c:v>74.599999999999994</c:v>
                </c:pt>
                <c:pt idx="8" formatCode="General">
                  <c:v>69.900000000000006</c:v>
                </c:pt>
                <c:pt idx="9" formatCode="General">
                  <c:v>72.900000000000006</c:v>
                </c:pt>
                <c:pt idx="10">
                  <c:v>55.9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opłacalność_prognoza!$A$6</c:f>
              <c:strCache>
                <c:ptCount val="1"/>
                <c:pt idx="0">
                  <c:v>pogorszy się</c:v>
                </c:pt>
              </c:strCache>
            </c:strRef>
          </c:tx>
          <c:spPr>
            <a:ln w="25400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opłacalność_prognoza!$B$3:$L$3</c:f>
              <c:strCache>
                <c:ptCount val="11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</c:strCache>
            </c:strRef>
          </c:cat>
          <c:val>
            <c:numRef>
              <c:f>opłacalność_prognoza!$B$6:$L$6</c:f>
              <c:numCache>
                <c:formatCode>0.0</c:formatCode>
                <c:ptCount val="11"/>
                <c:pt idx="0">
                  <c:v>25.8</c:v>
                </c:pt>
                <c:pt idx="1">
                  <c:v>17.7</c:v>
                </c:pt>
                <c:pt idx="2">
                  <c:v>18.2</c:v>
                </c:pt>
                <c:pt idx="3" formatCode="General">
                  <c:v>26.6</c:v>
                </c:pt>
                <c:pt idx="4" formatCode="General">
                  <c:v>35.6</c:v>
                </c:pt>
                <c:pt idx="5" formatCode="General">
                  <c:v>24.1</c:v>
                </c:pt>
                <c:pt idx="6">
                  <c:v>27.5</c:v>
                </c:pt>
                <c:pt idx="7" formatCode="General">
                  <c:v>13.3</c:v>
                </c:pt>
                <c:pt idx="8">
                  <c:v>17</c:v>
                </c:pt>
                <c:pt idx="9" formatCode="General">
                  <c:v>16.8</c:v>
                </c:pt>
                <c:pt idx="10">
                  <c:v>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0635712"/>
        <c:axId val="1550649312"/>
      </c:lineChart>
      <c:catAx>
        <c:axId val="155063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50649312"/>
        <c:crosses val="autoZero"/>
        <c:auto val="1"/>
        <c:lblAlgn val="ctr"/>
        <c:lblOffset val="100"/>
        <c:noMultiLvlLbl val="0"/>
      </c:catAx>
      <c:valAx>
        <c:axId val="1550649312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50635712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"/>
          <c:y val="0.91512110415855863"/>
          <c:w val="0.98914874106592465"/>
          <c:h val="8.4821013342914003E-2"/>
        </c:manualLayout>
      </c:layout>
      <c:overlay val="0"/>
      <c:txPr>
        <a:bodyPr/>
        <a:lstStyle/>
        <a:p>
          <a:pPr>
            <a:defRPr sz="800" spc="0" baseline="0">
              <a:latin typeface="Fira Sans" pitchFamily="34" charset="0"/>
              <a:ea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06242278485596"/>
          <c:y val="0.10477729029258796"/>
          <c:w val="0.63548692245396055"/>
          <c:h val="0.68913850713310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Wykres_12!$B$3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Wykres_12!$A$4:$A$7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Wykres_12!$B$4:$B$7</c:f>
              <c:numCache>
                <c:formatCode>General</c:formatCode>
                <c:ptCount val="4"/>
                <c:pt idx="0" formatCode="0.0">
                  <c:v>-22.6</c:v>
                </c:pt>
                <c:pt idx="1">
                  <c:v>-25.7</c:v>
                </c:pt>
                <c:pt idx="2">
                  <c:v>-11.3</c:v>
                </c:pt>
                <c:pt idx="3">
                  <c:v>-22.3</c:v>
                </c:pt>
              </c:numCache>
            </c:numRef>
          </c:val>
        </c:ser>
        <c:ser>
          <c:idx val="1"/>
          <c:order val="1"/>
          <c:tx>
            <c:strRef>
              <c:f>Wykres_12!$C$3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Wykres_12!$A$4:$A$7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Wykres_12!$C$4:$C$7</c:f>
              <c:numCache>
                <c:formatCode>General</c:formatCode>
                <c:ptCount val="4"/>
                <c:pt idx="0">
                  <c:v>-25.9</c:v>
                </c:pt>
                <c:pt idx="1">
                  <c:v>-27.6</c:v>
                </c:pt>
                <c:pt idx="2">
                  <c:v>-16.8</c:v>
                </c:pt>
                <c:pt idx="3">
                  <c:v>-26.7</c:v>
                </c:pt>
              </c:numCache>
            </c:numRef>
          </c:val>
        </c:ser>
        <c:ser>
          <c:idx val="2"/>
          <c:order val="2"/>
          <c:tx>
            <c:strRef>
              <c:f>Wykres_12!$D$3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solidFill>
              <a:srgbClr val="99CAE9"/>
            </a:solidFill>
            <a:ln>
              <a:solidFill>
                <a:srgbClr val="99CAE9"/>
              </a:solidFill>
            </a:ln>
          </c:spPr>
          <c:invertIfNegative val="0"/>
          <c:cat>
            <c:strRef>
              <c:f>Wykres_12!$A$4:$A$7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Wykres_12!$D$4:$D$7</c:f>
              <c:numCache>
                <c:formatCode>General</c:formatCode>
                <c:ptCount val="4"/>
                <c:pt idx="0">
                  <c:v>-7.8</c:v>
                </c:pt>
                <c:pt idx="1">
                  <c:v>-8.6</c:v>
                </c:pt>
                <c:pt idx="2">
                  <c:v>-2.2000000000000002</c:v>
                </c:pt>
                <c:pt idx="3">
                  <c:v>-8.7000000000000011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0643328"/>
        <c:axId val="1550649856"/>
      </c:barChart>
      <c:catAx>
        <c:axId val="1550643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baseline="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50649856"/>
        <c:crosses val="autoZero"/>
        <c:auto val="1"/>
        <c:lblAlgn val="ctr"/>
        <c:lblOffset val="0"/>
        <c:noMultiLvlLbl val="0"/>
      </c:catAx>
      <c:valAx>
        <c:axId val="1550649856"/>
        <c:scaling>
          <c:orientation val="minMax"/>
          <c:max val="10"/>
          <c:min val="-6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3.1670715881704489E-2"/>
              <c:y val="4.3718704903584534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50643328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79426240864873299"/>
          <c:y val="0.1185919067808842"/>
          <c:w val="0.17665525080740407"/>
          <c:h val="0.63461076980761444"/>
        </c:manualLayout>
      </c:layout>
      <c:overlay val="0"/>
      <c:txPr>
        <a:bodyPr/>
        <a:lstStyle/>
        <a:p>
          <a:pPr>
            <a:defRPr sz="800" b="0">
              <a:latin typeface="Fira Sans" pitchFamily="34" charset="0"/>
              <a:ea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475658141171027E-2"/>
          <c:y val="0.13444910155461398"/>
          <c:w val="0.67275837858451493"/>
          <c:h val="0.756186553603880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wykres_2!$B$3</c:f>
              <c:strCache>
                <c:ptCount val="1"/>
                <c:pt idx="0">
                  <c:v>bieżąca ogólna sytuacja gospodarstw rolnych</c:v>
                </c:pt>
              </c:strCache>
            </c:strRef>
          </c:tx>
          <c:spPr>
            <a:solidFill>
              <a:srgbClr val="001C77"/>
            </a:solidFill>
          </c:spPr>
          <c:invertIfNegative val="0"/>
          <c:cat>
            <c:strRef>
              <c:f>wykres_2!$A$4:$A$9</c:f>
              <c:strCache>
                <c:ptCount val="6"/>
                <c:pt idx="0">
                  <c:v>do 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i więcej</c:v>
                </c:pt>
              </c:strCache>
            </c:strRef>
          </c:cat>
          <c:val>
            <c:numRef>
              <c:f>wykres_2!$B$4:$B$9</c:f>
              <c:numCache>
                <c:formatCode>0.0</c:formatCode>
                <c:ptCount val="6"/>
                <c:pt idx="0">
                  <c:v>-30.4</c:v>
                </c:pt>
                <c:pt idx="1">
                  <c:v>-23.9</c:v>
                </c:pt>
                <c:pt idx="2">
                  <c:v>-25.4</c:v>
                </c:pt>
                <c:pt idx="3">
                  <c:v>-31.5</c:v>
                </c:pt>
                <c:pt idx="4">
                  <c:v>-37</c:v>
                </c:pt>
                <c:pt idx="5">
                  <c:v>-34.800000000000004</c:v>
                </c:pt>
              </c:numCache>
            </c:numRef>
          </c:val>
        </c:ser>
        <c:ser>
          <c:idx val="1"/>
          <c:order val="1"/>
          <c:tx>
            <c:strRef>
              <c:f>wykres_2!$C$3</c:f>
              <c:strCache>
                <c:ptCount val="1"/>
                <c:pt idx="0">
                  <c:v>prognozowana ogólna sytuacja gospodarstw rolnych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wykres_2!$A$4:$A$9</c:f>
              <c:strCache>
                <c:ptCount val="6"/>
                <c:pt idx="0">
                  <c:v>do 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i więcej</c:v>
                </c:pt>
              </c:strCache>
            </c:strRef>
          </c:cat>
          <c:val>
            <c:numRef>
              <c:f>wykres_2!$C$4:$C$9</c:f>
              <c:numCache>
                <c:formatCode>0.0</c:formatCode>
                <c:ptCount val="6"/>
                <c:pt idx="0">
                  <c:v>-18.600000000000001</c:v>
                </c:pt>
                <c:pt idx="1">
                  <c:v>-21.8</c:v>
                </c:pt>
                <c:pt idx="2">
                  <c:v>-20.8</c:v>
                </c:pt>
                <c:pt idx="3">
                  <c:v>-20.3</c:v>
                </c:pt>
                <c:pt idx="4">
                  <c:v>-27.1</c:v>
                </c:pt>
                <c:pt idx="5">
                  <c:v>-21.5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9783152"/>
        <c:axId val="1549790224"/>
      </c:barChart>
      <c:catAx>
        <c:axId val="1549783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wiek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i="0" baseline="0">
                <a:latin typeface="Fira Sans" pitchFamily="34" charset="0"/>
              </a:defRPr>
            </a:pPr>
            <a:endParaRPr lang="pl-PL"/>
          </a:p>
        </c:txPr>
        <c:crossAx val="1549790224"/>
        <c:crosses val="autoZero"/>
        <c:auto val="1"/>
        <c:lblAlgn val="ctr"/>
        <c:lblOffset val="0"/>
        <c:noMultiLvlLbl val="0"/>
      </c:catAx>
      <c:valAx>
        <c:axId val="1549790224"/>
        <c:scaling>
          <c:orientation val="minMax"/>
          <c:max val="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 b="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proc.</a:t>
                </a:r>
                <a:endParaRPr lang="pl-PL" sz="800" b="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2.5702809077544082E-2"/>
              <c:y val="2.4643881367690072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</a:defRPr>
            </a:pPr>
            <a:endParaRPr lang="pl-PL"/>
          </a:p>
        </c:txPr>
        <c:crossAx val="1549783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7949450467533"/>
          <c:y val="7.7962339176267839E-2"/>
          <c:w val="0.19235365041447466"/>
          <c:h val="0.72781708825906299"/>
        </c:manualLayout>
      </c:layout>
      <c:overlay val="0"/>
      <c:txPr>
        <a:bodyPr/>
        <a:lstStyle/>
        <a:p>
          <a:pPr>
            <a:defRPr sz="800" b="0" i="0" baseline="0">
              <a:latin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06242278485596"/>
          <c:y val="0.12339218961266206"/>
          <c:w val="0.63548692245396055"/>
          <c:h val="0.66505925395689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'Wykres_3.'!$B$3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'Wykres_3.'!$A$4:$A$7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'Wykres_3.'!$B$4:$B$7</c:f>
              <c:numCache>
                <c:formatCode>General</c:formatCode>
                <c:ptCount val="4"/>
                <c:pt idx="0">
                  <c:v>-32.700000000000003</c:v>
                </c:pt>
                <c:pt idx="1">
                  <c:v>-34.9</c:v>
                </c:pt>
                <c:pt idx="2">
                  <c:v>-24.1</c:v>
                </c:pt>
                <c:pt idx="3">
                  <c:v>-32.700000000000003</c:v>
                </c:pt>
              </c:numCache>
            </c:numRef>
          </c:val>
        </c:ser>
        <c:ser>
          <c:idx val="1"/>
          <c:order val="1"/>
          <c:tx>
            <c:strRef>
              <c:f>'Wykres_3.'!$C$3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'Wykres_3.'!$A$4:$A$7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'Wykres_3.'!$C$4:$C$7</c:f>
              <c:numCache>
                <c:formatCode>General</c:formatCode>
                <c:ptCount val="4"/>
                <c:pt idx="0">
                  <c:v>-47.4</c:v>
                </c:pt>
                <c:pt idx="1">
                  <c:v>-49.9</c:v>
                </c:pt>
                <c:pt idx="2">
                  <c:v>-38.800000000000004</c:v>
                </c:pt>
                <c:pt idx="3">
                  <c:v>-47</c:v>
                </c:pt>
              </c:numCache>
            </c:numRef>
          </c:val>
        </c:ser>
        <c:ser>
          <c:idx val="2"/>
          <c:order val="2"/>
          <c:tx>
            <c:strRef>
              <c:f>'Wykres_3.'!$D$3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solidFill>
              <a:srgbClr val="99CAE9"/>
            </a:solidFill>
            <a:ln>
              <a:solidFill>
                <a:srgbClr val="99CAE9"/>
              </a:solidFill>
            </a:ln>
          </c:spPr>
          <c:invertIfNegative val="0"/>
          <c:cat>
            <c:strRef>
              <c:f>'Wykres_3.'!$A$4:$A$7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'Wykres_3.'!$D$4:$D$7</c:f>
              <c:numCache>
                <c:formatCode>General</c:formatCode>
                <c:ptCount val="4"/>
                <c:pt idx="0">
                  <c:v>-15.6</c:v>
                </c:pt>
                <c:pt idx="1">
                  <c:v>-19.3</c:v>
                </c:pt>
                <c:pt idx="2">
                  <c:v>-7.2</c:v>
                </c:pt>
                <c:pt idx="3">
                  <c:v>-14.2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9783696"/>
        <c:axId val="1549784240"/>
      </c:barChart>
      <c:catAx>
        <c:axId val="1549783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baseline="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49784240"/>
        <c:crosses val="autoZero"/>
        <c:auto val="1"/>
        <c:lblAlgn val="ctr"/>
        <c:lblOffset val="0"/>
        <c:noMultiLvlLbl val="0"/>
      </c:catAx>
      <c:valAx>
        <c:axId val="1549784240"/>
        <c:scaling>
          <c:orientation val="minMax"/>
          <c:max val="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2.7666930376697582E-2"/>
              <c:y val="1.9859357202991135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4978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74072339470692"/>
          <c:y val="0.11859190678088412"/>
          <c:w val="0.16674199182351276"/>
          <c:h val="0.63461076980761499"/>
        </c:manualLayout>
      </c:layout>
      <c:overlay val="0"/>
      <c:txPr>
        <a:bodyPr/>
        <a:lstStyle/>
        <a:p>
          <a:pPr>
            <a:defRPr sz="800" b="0">
              <a:latin typeface="Fira Sans" pitchFamily="34" charset="0"/>
              <a:ea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06242278485596"/>
          <c:y val="0.10541791709998494"/>
          <c:w val="0.6644228492551677"/>
          <c:h val="0.68383182290892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'Wykres_4.'!$B$3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'Wykres_4.'!$A$4:$A$7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'Wykres_4.'!$B$4:$B$7</c:f>
              <c:numCache>
                <c:formatCode>General</c:formatCode>
                <c:ptCount val="4"/>
                <c:pt idx="0" formatCode="0.0">
                  <c:v>-31.6</c:v>
                </c:pt>
                <c:pt idx="1">
                  <c:v>-34.1</c:v>
                </c:pt>
                <c:pt idx="2">
                  <c:v>-24.7</c:v>
                </c:pt>
                <c:pt idx="3">
                  <c:v>-30.8</c:v>
                </c:pt>
              </c:numCache>
            </c:numRef>
          </c:val>
        </c:ser>
        <c:ser>
          <c:idx val="1"/>
          <c:order val="1"/>
          <c:tx>
            <c:strRef>
              <c:f>'Wykres_4.'!$C$3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'Wykres_4.'!$A$4:$A$7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'Wykres_4.'!$C$4:$C$7</c:f>
              <c:numCache>
                <c:formatCode>General</c:formatCode>
                <c:ptCount val="4"/>
                <c:pt idx="0">
                  <c:v>-21.6</c:v>
                </c:pt>
                <c:pt idx="1">
                  <c:v>-26</c:v>
                </c:pt>
                <c:pt idx="2" formatCode="0.0">
                  <c:v>-3.9</c:v>
                </c:pt>
                <c:pt idx="3">
                  <c:v>-22</c:v>
                </c:pt>
              </c:numCache>
            </c:numRef>
          </c:val>
        </c:ser>
        <c:ser>
          <c:idx val="2"/>
          <c:order val="2"/>
          <c:tx>
            <c:strRef>
              <c:f>'Wykres_4.'!$D$3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solidFill>
              <a:srgbClr val="99CAE9"/>
            </a:solidFill>
            <a:ln>
              <a:solidFill>
                <a:srgbClr val="99CAE9"/>
              </a:solidFill>
            </a:ln>
          </c:spPr>
          <c:invertIfNegative val="0"/>
          <c:cat>
            <c:strRef>
              <c:f>'Wykres_4.'!$A$4:$A$7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'Wykres_4.'!$D$4:$D$7</c:f>
              <c:numCache>
                <c:formatCode>General</c:formatCode>
                <c:ptCount val="4"/>
                <c:pt idx="0">
                  <c:v>-36.800000000000004</c:v>
                </c:pt>
                <c:pt idx="1">
                  <c:v>-41.1</c:v>
                </c:pt>
                <c:pt idx="2">
                  <c:v>-28</c:v>
                </c:pt>
                <c:pt idx="3">
                  <c:v>-35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9785328"/>
        <c:axId val="1549786960"/>
      </c:barChart>
      <c:catAx>
        <c:axId val="154978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baseline="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49786960"/>
        <c:crosses val="autoZero"/>
        <c:auto val="1"/>
        <c:lblAlgn val="ctr"/>
        <c:lblOffset val="0"/>
        <c:noMultiLvlLbl val="0"/>
      </c:catAx>
      <c:valAx>
        <c:axId val="1549786960"/>
        <c:scaling>
          <c:orientation val="minMax"/>
          <c:max val="10"/>
          <c:min val="-6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5.3424617508224137E-2"/>
              <c:y val="4.7652156687961146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4978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02663966428477"/>
          <c:y val="0.11859190678088415"/>
          <c:w val="0.18705376799109341"/>
          <c:h val="0.63461076980761477"/>
        </c:manualLayout>
      </c:layout>
      <c:overlay val="0"/>
      <c:txPr>
        <a:bodyPr/>
        <a:lstStyle/>
        <a:p>
          <a:pPr>
            <a:defRPr sz="800" b="0">
              <a:latin typeface="Fira Sans" pitchFamily="34" charset="0"/>
              <a:ea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180020371849742E-2"/>
          <c:y val="0.14413035870516194"/>
          <c:w val="0.67834124491147241"/>
          <c:h val="0.69097419072615918"/>
        </c:manualLayout>
      </c:layout>
      <c:lineChart>
        <c:grouping val="standard"/>
        <c:varyColors val="0"/>
        <c:ser>
          <c:idx val="0"/>
          <c:order val="0"/>
          <c:tx>
            <c:strRef>
              <c:f>'wykres 5'!$A$5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ln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'wykres 5'!$B$4:$N$4</c:f>
              <c:strCache>
                <c:ptCount val="13"/>
                <c:pt idx="0">
                  <c:v>VI 2012</c:v>
                </c:pt>
                <c:pt idx="1">
                  <c:v>XII 2012 </c:v>
                </c:pt>
                <c:pt idx="2">
                  <c:v>VI 2013</c:v>
                </c:pt>
                <c:pt idx="3">
                  <c:v>XII 2013 </c:v>
                </c:pt>
                <c:pt idx="4">
                  <c:v>VI 2014</c:v>
                </c:pt>
                <c:pt idx="5">
                  <c:v>XII 2014 </c:v>
                </c:pt>
                <c:pt idx="6">
                  <c:v>VI 2015</c:v>
                </c:pt>
                <c:pt idx="7">
                  <c:v>XII 2015</c:v>
                </c:pt>
                <c:pt idx="8">
                  <c:v>VI 2016</c:v>
                </c:pt>
                <c:pt idx="9">
                  <c:v>XII 2016</c:v>
                </c:pt>
                <c:pt idx="10">
                  <c:v>VI 2017</c:v>
                </c:pt>
                <c:pt idx="11">
                  <c:v>XII 2017</c:v>
                </c:pt>
                <c:pt idx="12">
                  <c:v>VI 2018</c:v>
                </c:pt>
              </c:strCache>
            </c:strRef>
          </c:cat>
          <c:val>
            <c:numRef>
              <c:f>'wykres 5'!$B$5:$N$5</c:f>
              <c:numCache>
                <c:formatCode>0.0</c:formatCode>
                <c:ptCount val="13"/>
                <c:pt idx="0">
                  <c:v>-1.5</c:v>
                </c:pt>
                <c:pt idx="1">
                  <c:v>-2.5</c:v>
                </c:pt>
                <c:pt idx="2">
                  <c:v>-3.1</c:v>
                </c:pt>
                <c:pt idx="3">
                  <c:v>0.60000000000000064</c:v>
                </c:pt>
                <c:pt idx="4">
                  <c:v>4.0999999999999996</c:v>
                </c:pt>
                <c:pt idx="5" formatCode="General">
                  <c:v>-11.9</c:v>
                </c:pt>
                <c:pt idx="6">
                  <c:v>-25.5</c:v>
                </c:pt>
                <c:pt idx="7" formatCode="General">
                  <c:v>-18.8</c:v>
                </c:pt>
                <c:pt idx="8">
                  <c:v>-11.6</c:v>
                </c:pt>
                <c:pt idx="9" formatCode="General">
                  <c:v>-0.70000000000000062</c:v>
                </c:pt>
                <c:pt idx="10">
                  <c:v>1.2</c:v>
                </c:pt>
                <c:pt idx="11">
                  <c:v>1</c:v>
                </c:pt>
                <c:pt idx="12" formatCode="General">
                  <c:v>-31.6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'wykres 5'!$A$6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ln>
              <a:solidFill>
                <a:srgbClr val="6677AD"/>
              </a:solidFill>
            </a:ln>
          </c:spPr>
          <c:marker>
            <c:symbol val="none"/>
          </c:marker>
          <c:cat>
            <c:strRef>
              <c:f>'wykres 5'!$B$4:$N$4</c:f>
              <c:strCache>
                <c:ptCount val="13"/>
                <c:pt idx="0">
                  <c:v>VI 2012</c:v>
                </c:pt>
                <c:pt idx="1">
                  <c:v>XII 2012 </c:v>
                </c:pt>
                <c:pt idx="2">
                  <c:v>VI 2013</c:v>
                </c:pt>
                <c:pt idx="3">
                  <c:v>XII 2013 </c:v>
                </c:pt>
                <c:pt idx="4">
                  <c:v>VI 2014</c:v>
                </c:pt>
                <c:pt idx="5">
                  <c:v>XII 2014 </c:v>
                </c:pt>
                <c:pt idx="6">
                  <c:v>VI 2015</c:v>
                </c:pt>
                <c:pt idx="7">
                  <c:v>XII 2015</c:v>
                </c:pt>
                <c:pt idx="8">
                  <c:v>VI 2016</c:v>
                </c:pt>
                <c:pt idx="9">
                  <c:v>XII 2016</c:v>
                </c:pt>
                <c:pt idx="10">
                  <c:v>VI 2017</c:v>
                </c:pt>
                <c:pt idx="11">
                  <c:v>XII 2017</c:v>
                </c:pt>
                <c:pt idx="12">
                  <c:v>VI 2018</c:v>
                </c:pt>
              </c:strCache>
            </c:strRef>
          </c:cat>
          <c:val>
            <c:numRef>
              <c:f>'wykres 5'!$B$6:$N$6</c:f>
              <c:numCache>
                <c:formatCode>General</c:formatCode>
                <c:ptCount val="13"/>
                <c:pt idx="0">
                  <c:v>-14.8</c:v>
                </c:pt>
                <c:pt idx="1">
                  <c:v>-11.400000000000002</c:v>
                </c:pt>
                <c:pt idx="2">
                  <c:v>-9.5</c:v>
                </c:pt>
                <c:pt idx="3">
                  <c:v>-4.3000000000000007</c:v>
                </c:pt>
                <c:pt idx="4">
                  <c:v>-4.4000000000000021</c:v>
                </c:pt>
                <c:pt idx="5">
                  <c:v>-24.3</c:v>
                </c:pt>
                <c:pt idx="6">
                  <c:v>-33.5</c:v>
                </c:pt>
                <c:pt idx="7">
                  <c:v>-30.2</c:v>
                </c:pt>
                <c:pt idx="8">
                  <c:v>-19.399999999999999</c:v>
                </c:pt>
                <c:pt idx="9">
                  <c:v>-2.5</c:v>
                </c:pt>
                <c:pt idx="10">
                  <c:v>5.3</c:v>
                </c:pt>
                <c:pt idx="11">
                  <c:v>2.5</c:v>
                </c:pt>
                <c:pt idx="12">
                  <c:v>-21.6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'wykres 5'!$A$7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ln>
              <a:solidFill>
                <a:srgbClr val="99CAE9"/>
              </a:solidFill>
            </a:ln>
          </c:spPr>
          <c:marker>
            <c:symbol val="none"/>
          </c:marker>
          <c:cat>
            <c:strRef>
              <c:f>'wykres 5'!$B$4:$N$4</c:f>
              <c:strCache>
                <c:ptCount val="13"/>
                <c:pt idx="0">
                  <c:v>VI 2012</c:v>
                </c:pt>
                <c:pt idx="1">
                  <c:v>XII 2012 </c:v>
                </c:pt>
                <c:pt idx="2">
                  <c:v>VI 2013</c:v>
                </c:pt>
                <c:pt idx="3">
                  <c:v>XII 2013 </c:v>
                </c:pt>
                <c:pt idx="4">
                  <c:v>VI 2014</c:v>
                </c:pt>
                <c:pt idx="5">
                  <c:v>XII 2014 </c:v>
                </c:pt>
                <c:pt idx="6">
                  <c:v>VI 2015</c:v>
                </c:pt>
                <c:pt idx="7">
                  <c:v>XII 2015</c:v>
                </c:pt>
                <c:pt idx="8">
                  <c:v>VI 2016</c:v>
                </c:pt>
                <c:pt idx="9">
                  <c:v>XII 2016</c:v>
                </c:pt>
                <c:pt idx="10">
                  <c:v>VI 2017</c:v>
                </c:pt>
                <c:pt idx="11">
                  <c:v>XII 2017</c:v>
                </c:pt>
                <c:pt idx="12">
                  <c:v>VI 2018</c:v>
                </c:pt>
              </c:strCache>
            </c:strRef>
          </c:cat>
          <c:val>
            <c:numRef>
              <c:f>'wykres 5'!$B$7:$N$7</c:f>
              <c:numCache>
                <c:formatCode>General</c:formatCode>
                <c:ptCount val="13"/>
                <c:pt idx="0">
                  <c:v>-19</c:v>
                </c:pt>
                <c:pt idx="1">
                  <c:v>-20.5</c:v>
                </c:pt>
                <c:pt idx="2">
                  <c:v>-38.800000000000004</c:v>
                </c:pt>
                <c:pt idx="3">
                  <c:v>-31.4</c:v>
                </c:pt>
                <c:pt idx="4">
                  <c:v>-34.9</c:v>
                </c:pt>
                <c:pt idx="5">
                  <c:v>-48.7</c:v>
                </c:pt>
                <c:pt idx="6">
                  <c:v>-49.2</c:v>
                </c:pt>
                <c:pt idx="7">
                  <c:v>-44.6</c:v>
                </c:pt>
                <c:pt idx="8">
                  <c:v>-38.6</c:v>
                </c:pt>
                <c:pt idx="9">
                  <c:v>-27.2</c:v>
                </c:pt>
                <c:pt idx="10">
                  <c:v>-20.6</c:v>
                </c:pt>
                <c:pt idx="11">
                  <c:v>-22.6</c:v>
                </c:pt>
                <c:pt idx="12">
                  <c:v>-36.800000000000004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9791856"/>
        <c:axId val="1549788592"/>
      </c:lineChart>
      <c:catAx>
        <c:axId val="154979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effectLst/>
        </c:spPr>
        <c:txPr>
          <a:bodyPr rot="-60000000" spcFirstLastPara="1" vertOverflow="ellipsis" vert="horz" wrap="square" anchor="t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itchFamily="34" charset="0"/>
                <a:ea typeface="+mn-ea"/>
                <a:cs typeface="+mn-cs"/>
              </a:defRPr>
            </a:pPr>
            <a:endParaRPr lang="pl-PL"/>
          </a:p>
        </c:txPr>
        <c:crossAx val="1549788592"/>
        <c:crosses val="autoZero"/>
        <c:auto val="1"/>
        <c:lblAlgn val="ctr"/>
        <c:lblOffset val="100"/>
        <c:noMultiLvlLbl val="0"/>
      </c:catAx>
      <c:valAx>
        <c:axId val="1549788592"/>
        <c:scaling>
          <c:orientation val="minMax"/>
          <c:max val="10"/>
        </c:scaling>
        <c:delete val="0"/>
        <c:axPos val="l"/>
        <c:majorGridlines>
          <c:spPr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itchFamily="34" charset="0"/>
                <a:ea typeface="Fira Sans" pitchFamily="34" charset="0"/>
                <a:cs typeface="+mn-cs"/>
              </a:defRPr>
            </a:pPr>
            <a:endParaRPr lang="pl-PL"/>
          </a:p>
        </c:txPr>
        <c:crossAx val="1549791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73806807243907"/>
          <c:y val="7.5340197543346962E-2"/>
          <c:w val="0.18099155315782381"/>
          <c:h val="0.7795113950175014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28313021322225E-2"/>
          <c:y val="8.5798474409448822E-2"/>
          <c:w val="0.88512878872611656"/>
          <c:h val="0.68508530183726812"/>
        </c:manualLayout>
      </c:layout>
      <c:lineChart>
        <c:grouping val="standard"/>
        <c:varyColors val="0"/>
        <c:ser>
          <c:idx val="0"/>
          <c:order val="0"/>
          <c:tx>
            <c:strRef>
              <c:f>'sytuacja-zmiana1'!$A$4</c:f>
              <c:strCache>
                <c:ptCount val="1"/>
                <c:pt idx="0">
                  <c:v>poprawiła się</c:v>
                </c:pt>
              </c:strCache>
            </c:strRef>
          </c:tx>
          <c:spPr>
            <a:ln w="28575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'sytuacja-zmiana1'!$B$3:$L$3</c:f>
              <c:strCache>
                <c:ptCount val="11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</c:strCache>
            </c:strRef>
          </c:cat>
          <c:val>
            <c:numRef>
              <c:f>'sytuacja-zmiana1'!$B$4:$L$4</c:f>
              <c:numCache>
                <c:formatCode>0.0</c:formatCode>
                <c:ptCount val="11"/>
                <c:pt idx="0">
                  <c:v>6.9</c:v>
                </c:pt>
                <c:pt idx="1">
                  <c:v>6.2</c:v>
                </c:pt>
                <c:pt idx="2">
                  <c:v>6.7</c:v>
                </c:pt>
                <c:pt idx="3" formatCode="General">
                  <c:v>3.9</c:v>
                </c:pt>
                <c:pt idx="4" formatCode="General">
                  <c:v>3.5</c:v>
                </c:pt>
                <c:pt idx="5" formatCode="General">
                  <c:v>3.7</c:v>
                </c:pt>
                <c:pt idx="6">
                  <c:v>5.6</c:v>
                </c:pt>
                <c:pt idx="7" formatCode="General">
                  <c:v>8.4</c:v>
                </c:pt>
                <c:pt idx="8" formatCode="General">
                  <c:v>11.1</c:v>
                </c:pt>
                <c:pt idx="9">
                  <c:v>10.200000000000001</c:v>
                </c:pt>
                <c:pt idx="10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'sytuacja-zmiana1'!$A$5</c:f>
              <c:strCache>
                <c:ptCount val="1"/>
                <c:pt idx="0">
                  <c:v>pozostała bez zmian</c:v>
                </c:pt>
              </c:strCache>
            </c:strRef>
          </c:tx>
          <c:spPr>
            <a:ln>
              <a:solidFill>
                <a:srgbClr val="99CAE9"/>
              </a:solidFill>
              <a:prstDash val="sysDash"/>
            </a:ln>
          </c:spPr>
          <c:marker>
            <c:symbol val="none"/>
          </c:marker>
          <c:cat>
            <c:strRef>
              <c:f>'sytuacja-zmiana1'!$B$3:$L$3</c:f>
              <c:strCache>
                <c:ptCount val="11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</c:strCache>
            </c:strRef>
          </c:cat>
          <c:val>
            <c:numRef>
              <c:f>'sytuacja-zmiana1'!$B$5:$L$5</c:f>
              <c:numCache>
                <c:formatCode>0.0</c:formatCode>
                <c:ptCount val="11"/>
                <c:pt idx="0">
                  <c:v>68.900000000000006</c:v>
                </c:pt>
                <c:pt idx="1">
                  <c:v>71.2</c:v>
                </c:pt>
                <c:pt idx="2">
                  <c:v>74.5</c:v>
                </c:pt>
                <c:pt idx="3" formatCode="General">
                  <c:v>60.6</c:v>
                </c:pt>
                <c:pt idx="4" formatCode="General">
                  <c:v>52.5</c:v>
                </c:pt>
                <c:pt idx="5" formatCode="General">
                  <c:v>55.4</c:v>
                </c:pt>
                <c:pt idx="6">
                  <c:v>59.8</c:v>
                </c:pt>
                <c:pt idx="7" formatCode="General">
                  <c:v>68.400000000000006</c:v>
                </c:pt>
                <c:pt idx="8">
                  <c:v>70</c:v>
                </c:pt>
                <c:pt idx="9">
                  <c:v>69.5</c:v>
                </c:pt>
                <c:pt idx="10">
                  <c:v>58.3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'sytuacja-zmiana1'!$A$6</c:f>
              <c:strCache>
                <c:ptCount val="1"/>
                <c:pt idx="0">
                  <c:v>pogorszyła się</c:v>
                </c:pt>
              </c:strCache>
            </c:strRef>
          </c:tx>
          <c:spPr>
            <a:ln w="25400">
              <a:solidFill>
                <a:srgbClr val="6677AD"/>
              </a:solidFill>
              <a:prstDash val="solid"/>
            </a:ln>
          </c:spPr>
          <c:marker>
            <c:symbol val="none"/>
          </c:marker>
          <c:cat>
            <c:strRef>
              <c:f>'sytuacja-zmiana1'!$B$3:$L$3</c:f>
              <c:strCache>
                <c:ptCount val="11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</c:strCache>
            </c:strRef>
          </c:cat>
          <c:val>
            <c:numRef>
              <c:f>'sytuacja-zmiana1'!$B$6:$L$6</c:f>
              <c:numCache>
                <c:formatCode>0.0</c:formatCode>
                <c:ptCount val="11"/>
                <c:pt idx="0">
                  <c:v>24.2</c:v>
                </c:pt>
                <c:pt idx="1">
                  <c:v>22.6</c:v>
                </c:pt>
                <c:pt idx="2">
                  <c:v>18.8</c:v>
                </c:pt>
                <c:pt idx="3" formatCode="General">
                  <c:v>35.5</c:v>
                </c:pt>
                <c:pt idx="4">
                  <c:v>44</c:v>
                </c:pt>
                <c:pt idx="5" formatCode="General">
                  <c:v>40.9</c:v>
                </c:pt>
                <c:pt idx="6">
                  <c:v>34.6</c:v>
                </c:pt>
                <c:pt idx="7" formatCode="General">
                  <c:v>23.2</c:v>
                </c:pt>
                <c:pt idx="8" formatCode="General">
                  <c:v>18.899999999999999</c:v>
                </c:pt>
                <c:pt idx="9">
                  <c:v>20.3</c:v>
                </c:pt>
                <c:pt idx="10">
                  <c:v>37.200000000000003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9789680"/>
        <c:axId val="1549791312"/>
      </c:lineChart>
      <c:catAx>
        <c:axId val="1549789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49791312"/>
        <c:crosses val="autoZero"/>
        <c:auto val="1"/>
        <c:lblAlgn val="ctr"/>
        <c:lblOffset val="100"/>
        <c:noMultiLvlLbl val="0"/>
      </c:catAx>
      <c:valAx>
        <c:axId val="1549791312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49789680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"/>
          <c:y val="0.9155368274278215"/>
          <c:w val="1"/>
          <c:h val="6.9195784120734932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28313021322225E-2"/>
          <c:y val="0.11704834605597966"/>
          <c:w val="0.88512878872611656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'sytuacja-bieżąca'!$A$4</c:f>
              <c:strCache>
                <c:ptCount val="1"/>
                <c:pt idx="0">
                  <c:v>dobra</c:v>
                </c:pt>
              </c:strCache>
            </c:strRef>
          </c:tx>
          <c:spPr>
            <a:ln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'sytuacja-bieżąca'!$B$3:$L$3</c:f>
              <c:strCache>
                <c:ptCount val="11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</c:strCache>
            </c:strRef>
          </c:cat>
          <c:val>
            <c:numRef>
              <c:f>'sytuacja-bieżąca'!$B$4:$L$4</c:f>
              <c:numCache>
                <c:formatCode>0.0</c:formatCode>
                <c:ptCount val="11"/>
                <c:pt idx="0">
                  <c:v>19.3</c:v>
                </c:pt>
                <c:pt idx="1">
                  <c:v>19.600000000000001</c:v>
                </c:pt>
                <c:pt idx="2">
                  <c:v>20.7</c:v>
                </c:pt>
                <c:pt idx="3" formatCode="General">
                  <c:v>15.7</c:v>
                </c:pt>
                <c:pt idx="4">
                  <c:v>9</c:v>
                </c:pt>
                <c:pt idx="5" formatCode="General">
                  <c:v>7.6</c:v>
                </c:pt>
                <c:pt idx="6">
                  <c:v>11.5</c:v>
                </c:pt>
                <c:pt idx="7" formatCode="General">
                  <c:v>11.8</c:v>
                </c:pt>
                <c:pt idx="8" formatCode="General">
                  <c:v>15.9</c:v>
                </c:pt>
                <c:pt idx="9">
                  <c:v>13.7</c:v>
                </c:pt>
                <c:pt idx="10">
                  <c:v>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'sytuacja-bieżąca'!$A$5</c:f>
              <c:strCache>
                <c:ptCount val="1"/>
                <c:pt idx="0">
                  <c:v>normalna</c:v>
                </c:pt>
              </c:strCache>
            </c:strRef>
          </c:tx>
          <c:spPr>
            <a:ln>
              <a:solidFill>
                <a:srgbClr val="99CAE9"/>
              </a:solidFill>
              <a:prstDash val="sysDash"/>
            </a:ln>
          </c:spPr>
          <c:marker>
            <c:symbol val="none"/>
          </c:marker>
          <c:cat>
            <c:strRef>
              <c:f>'sytuacja-bieżąca'!$B$3:$L$3</c:f>
              <c:strCache>
                <c:ptCount val="11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</c:strCache>
            </c:strRef>
          </c:cat>
          <c:val>
            <c:numRef>
              <c:f>'sytuacja-bieżąca'!$B$5:$L$5</c:f>
              <c:numCache>
                <c:formatCode>0.0</c:formatCode>
                <c:ptCount val="11"/>
                <c:pt idx="0">
                  <c:v>58.3</c:v>
                </c:pt>
                <c:pt idx="1">
                  <c:v>61.4</c:v>
                </c:pt>
                <c:pt idx="2">
                  <c:v>62.7</c:v>
                </c:pt>
                <c:pt idx="3" formatCode="General">
                  <c:v>56.7</c:v>
                </c:pt>
                <c:pt idx="4" formatCode="General">
                  <c:v>56.5</c:v>
                </c:pt>
                <c:pt idx="5">
                  <c:v>66</c:v>
                </c:pt>
                <c:pt idx="6">
                  <c:v>65.400000000000006</c:v>
                </c:pt>
                <c:pt idx="7" formatCode="General">
                  <c:v>75.7</c:v>
                </c:pt>
                <c:pt idx="8" formatCode="General">
                  <c:v>69.400000000000006</c:v>
                </c:pt>
                <c:pt idx="9">
                  <c:v>73.599999999999994</c:v>
                </c:pt>
                <c:pt idx="10">
                  <c:v>54.2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'sytuacja-bieżąca'!$A$6</c:f>
              <c:strCache>
                <c:ptCount val="1"/>
                <c:pt idx="0">
                  <c:v>zła</c:v>
                </c:pt>
              </c:strCache>
            </c:strRef>
          </c:tx>
          <c:spPr>
            <a:ln w="25400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'sytuacja-bieżąca'!$B$3:$L$3</c:f>
              <c:strCache>
                <c:ptCount val="11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</c:strCache>
            </c:strRef>
          </c:cat>
          <c:val>
            <c:numRef>
              <c:f>'sytuacja-bieżąca'!$B$6:$L$6</c:f>
              <c:numCache>
                <c:formatCode>0.0</c:formatCode>
                <c:ptCount val="11"/>
                <c:pt idx="0">
                  <c:v>22.4</c:v>
                </c:pt>
                <c:pt idx="1">
                  <c:v>19</c:v>
                </c:pt>
                <c:pt idx="2">
                  <c:v>16.600000000000001</c:v>
                </c:pt>
                <c:pt idx="3" formatCode="General">
                  <c:v>27.6</c:v>
                </c:pt>
                <c:pt idx="4" formatCode="General">
                  <c:v>34.5</c:v>
                </c:pt>
                <c:pt idx="5" formatCode="General">
                  <c:v>26.4</c:v>
                </c:pt>
                <c:pt idx="6">
                  <c:v>23.1</c:v>
                </c:pt>
                <c:pt idx="7" formatCode="General">
                  <c:v>12.5</c:v>
                </c:pt>
                <c:pt idx="8" formatCode="General">
                  <c:v>14.7</c:v>
                </c:pt>
                <c:pt idx="9">
                  <c:v>12.7</c:v>
                </c:pt>
                <c:pt idx="10">
                  <c:v>38.700000000000003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0638976"/>
        <c:axId val="1550640064"/>
      </c:lineChart>
      <c:catAx>
        <c:axId val="1550638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50640064"/>
        <c:crosses val="autoZero"/>
        <c:auto val="1"/>
        <c:lblAlgn val="ctr"/>
        <c:lblOffset val="100"/>
        <c:noMultiLvlLbl val="0"/>
      </c:catAx>
      <c:valAx>
        <c:axId val="1550640064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50638976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8.0417804025331909E-3"/>
          <c:y val="0.89991184308068362"/>
          <c:w val="0.96526803976876441"/>
          <c:h val="8.4820981346797567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ea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28313021322225E-2"/>
          <c:y val="9.6215141076115493E-2"/>
          <c:w val="0.88512878872611656"/>
          <c:h val="0.6746686351706056"/>
        </c:manualLayout>
      </c:layout>
      <c:lineChart>
        <c:grouping val="standard"/>
        <c:varyColors val="0"/>
        <c:ser>
          <c:idx val="0"/>
          <c:order val="0"/>
          <c:tx>
            <c:strRef>
              <c:f>'sytuacja-prognoza'!$A$4</c:f>
              <c:strCache>
                <c:ptCount val="1"/>
                <c:pt idx="0">
                  <c:v>poprawi się</c:v>
                </c:pt>
              </c:strCache>
            </c:strRef>
          </c:tx>
          <c:spPr>
            <a:ln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'sytuacja-prognoza'!$B$3:$L$3</c:f>
              <c:strCache>
                <c:ptCount val="11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</c:strCache>
            </c:strRef>
          </c:cat>
          <c:val>
            <c:numRef>
              <c:f>'sytuacja-prognoza'!$B$4:$L$4</c:f>
              <c:numCache>
                <c:formatCode>0.0</c:formatCode>
                <c:ptCount val="11"/>
                <c:pt idx="0">
                  <c:v>8.3000000000000007</c:v>
                </c:pt>
                <c:pt idx="1">
                  <c:v>9</c:v>
                </c:pt>
                <c:pt idx="2">
                  <c:v>9.1</c:v>
                </c:pt>
                <c:pt idx="3" formatCode="General">
                  <c:v>6.1</c:v>
                </c:pt>
                <c:pt idx="4" formatCode="General">
                  <c:v>9.3000000000000007</c:v>
                </c:pt>
                <c:pt idx="5" formatCode="General">
                  <c:v>9.3000000000000007</c:v>
                </c:pt>
                <c:pt idx="6">
                  <c:v>12.6</c:v>
                </c:pt>
                <c:pt idx="7" formatCode="General">
                  <c:v>14.6</c:v>
                </c:pt>
                <c:pt idx="8" formatCode="General">
                  <c:v>14.8</c:v>
                </c:pt>
                <c:pt idx="9">
                  <c:v>12</c:v>
                </c:pt>
                <c:pt idx="10" formatCode="General">
                  <c:v>10.3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'sytuacja-prognoza'!$A$5</c:f>
              <c:strCache>
                <c:ptCount val="1"/>
                <c:pt idx="0">
                  <c:v>pozostanie bez zmian</c:v>
                </c:pt>
              </c:strCache>
            </c:strRef>
          </c:tx>
          <c:spPr>
            <a:ln>
              <a:solidFill>
                <a:srgbClr val="99CAE9"/>
              </a:solidFill>
              <a:prstDash val="sysDash"/>
            </a:ln>
          </c:spPr>
          <c:marker>
            <c:symbol val="none"/>
          </c:marker>
          <c:cat>
            <c:strRef>
              <c:f>'sytuacja-prognoza'!$B$3:$L$3</c:f>
              <c:strCache>
                <c:ptCount val="11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</c:strCache>
            </c:strRef>
          </c:cat>
          <c:val>
            <c:numRef>
              <c:f>'sytuacja-prognoza'!$B$5:$L$5</c:f>
              <c:numCache>
                <c:formatCode>0.0</c:formatCode>
                <c:ptCount val="11"/>
                <c:pt idx="0">
                  <c:v>71.5</c:v>
                </c:pt>
                <c:pt idx="1">
                  <c:v>77.900000000000006</c:v>
                </c:pt>
                <c:pt idx="2">
                  <c:v>77.400000000000006</c:v>
                </c:pt>
                <c:pt idx="3" formatCode="General">
                  <c:v>71.900000000000006</c:v>
                </c:pt>
                <c:pt idx="4">
                  <c:v>60</c:v>
                </c:pt>
                <c:pt idx="5" formatCode="General">
                  <c:v>70.900000000000006</c:v>
                </c:pt>
                <c:pt idx="6">
                  <c:v>64.400000000000006</c:v>
                </c:pt>
                <c:pt idx="7" formatCode="General">
                  <c:v>73.7</c:v>
                </c:pt>
                <c:pt idx="8" formatCode="General">
                  <c:v>69.3</c:v>
                </c:pt>
                <c:pt idx="9">
                  <c:v>73</c:v>
                </c:pt>
                <c:pt idx="10" formatCode="General">
                  <c:v>56.8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'sytuacja-prognoza'!$A$6</c:f>
              <c:strCache>
                <c:ptCount val="1"/>
                <c:pt idx="0">
                  <c:v>pogorszy się</c:v>
                </c:pt>
              </c:strCache>
            </c:strRef>
          </c:tx>
          <c:spPr>
            <a:ln w="25400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'sytuacja-prognoza'!$B$3:$L$3</c:f>
              <c:strCache>
                <c:ptCount val="11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</c:strCache>
            </c:strRef>
          </c:cat>
          <c:val>
            <c:numRef>
              <c:f>'sytuacja-prognoza'!$B$6:$L$6</c:f>
              <c:numCache>
                <c:formatCode>0.0</c:formatCode>
                <c:ptCount val="11"/>
                <c:pt idx="0">
                  <c:v>20.2</c:v>
                </c:pt>
                <c:pt idx="1">
                  <c:v>13.1</c:v>
                </c:pt>
                <c:pt idx="2">
                  <c:v>13.5</c:v>
                </c:pt>
                <c:pt idx="3" formatCode="General">
                  <c:v>22</c:v>
                </c:pt>
                <c:pt idx="4" formatCode="General">
                  <c:v>30.7</c:v>
                </c:pt>
                <c:pt idx="5" formatCode="General">
                  <c:v>19.8</c:v>
                </c:pt>
                <c:pt idx="6">
                  <c:v>23</c:v>
                </c:pt>
                <c:pt idx="7" formatCode="General">
                  <c:v>11.7</c:v>
                </c:pt>
                <c:pt idx="8" formatCode="General">
                  <c:v>15.9</c:v>
                </c:pt>
                <c:pt idx="9">
                  <c:v>15</c:v>
                </c:pt>
                <c:pt idx="10" formatCode="General">
                  <c:v>32.9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0637888"/>
        <c:axId val="1550647680"/>
      </c:lineChart>
      <c:catAx>
        <c:axId val="155063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50647680"/>
        <c:crosses val="autoZero"/>
        <c:auto val="1"/>
        <c:lblAlgn val="ctr"/>
        <c:lblOffset val="100"/>
        <c:noMultiLvlLbl val="0"/>
      </c:catAx>
      <c:valAx>
        <c:axId val="1550647680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50637888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"/>
          <c:y val="0.89991184308068362"/>
          <c:w val="0.99609667288698744"/>
          <c:h val="8.4820981346797567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28313021322225E-2"/>
          <c:y val="9.1006807742782247E-2"/>
          <c:w val="0.88512878872611656"/>
          <c:h val="0.68508530183726812"/>
        </c:manualLayout>
      </c:layout>
      <c:lineChart>
        <c:grouping val="standard"/>
        <c:varyColors val="0"/>
        <c:ser>
          <c:idx val="0"/>
          <c:order val="0"/>
          <c:tx>
            <c:strRef>
              <c:f>opłacalność_zmiana!$A$4</c:f>
              <c:strCache>
                <c:ptCount val="1"/>
                <c:pt idx="0">
                  <c:v>poprawiła się</c:v>
                </c:pt>
              </c:strCache>
            </c:strRef>
          </c:tx>
          <c:spPr>
            <a:ln>
              <a:solidFill>
                <a:srgbClr val="001D77"/>
              </a:solidFill>
            </a:ln>
          </c:spPr>
          <c:marker>
            <c:symbol val="none"/>
          </c:marker>
          <c:cat>
            <c:strRef>
              <c:f>opłacalność_zmiana!$B$3:$L$3</c:f>
              <c:strCache>
                <c:ptCount val="11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</c:strCache>
            </c:strRef>
          </c:cat>
          <c:val>
            <c:numRef>
              <c:f>opłacalność_zmiana!$B$4:$L$4</c:f>
              <c:numCache>
                <c:formatCode>0.0</c:formatCode>
                <c:ptCount val="11"/>
                <c:pt idx="0">
                  <c:v>4.5999999999999996</c:v>
                </c:pt>
                <c:pt idx="1">
                  <c:v>6.4</c:v>
                </c:pt>
                <c:pt idx="2">
                  <c:v>4.5999999999999996</c:v>
                </c:pt>
                <c:pt idx="3" formatCode="General">
                  <c:v>1.8</c:v>
                </c:pt>
                <c:pt idx="4" formatCode="General">
                  <c:v>2.2999999999999998</c:v>
                </c:pt>
                <c:pt idx="5" formatCode="General">
                  <c:v>3.1</c:v>
                </c:pt>
                <c:pt idx="6">
                  <c:v>4.3</c:v>
                </c:pt>
                <c:pt idx="7" formatCode="General">
                  <c:v>9.1</c:v>
                </c:pt>
                <c:pt idx="8" formatCode="General">
                  <c:v>13.5</c:v>
                </c:pt>
                <c:pt idx="9">
                  <c:v>11.5</c:v>
                </c:pt>
                <c:pt idx="10">
                  <c:v>3.4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opłacalność_zmiana!$A$5</c:f>
              <c:strCache>
                <c:ptCount val="1"/>
                <c:pt idx="0">
                  <c:v>pozostała bez zmian</c:v>
                </c:pt>
              </c:strCache>
            </c:strRef>
          </c:tx>
          <c:spPr>
            <a:ln>
              <a:solidFill>
                <a:srgbClr val="99CAE9"/>
              </a:solidFill>
              <a:prstDash val="sysDash"/>
            </a:ln>
          </c:spPr>
          <c:marker>
            <c:symbol val="none"/>
          </c:marker>
          <c:cat>
            <c:strRef>
              <c:f>opłacalność_zmiana!$B$3:$L$3</c:f>
              <c:strCache>
                <c:ptCount val="11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</c:strCache>
            </c:strRef>
          </c:cat>
          <c:val>
            <c:numRef>
              <c:f>opłacalność_zmiana!$B$5:$L$5</c:f>
              <c:numCache>
                <c:formatCode>0.0</c:formatCode>
                <c:ptCount val="11"/>
                <c:pt idx="0">
                  <c:v>55.1</c:v>
                </c:pt>
                <c:pt idx="1">
                  <c:v>57.4</c:v>
                </c:pt>
                <c:pt idx="2">
                  <c:v>60.2</c:v>
                </c:pt>
                <c:pt idx="3" formatCode="General">
                  <c:v>45</c:v>
                </c:pt>
                <c:pt idx="4" formatCode="General">
                  <c:v>36.200000000000003</c:v>
                </c:pt>
                <c:pt idx="5" formatCode="General">
                  <c:v>40.300000000000004</c:v>
                </c:pt>
                <c:pt idx="6">
                  <c:v>44.8</c:v>
                </c:pt>
                <c:pt idx="7" formatCode="General">
                  <c:v>58.4</c:v>
                </c:pt>
                <c:pt idx="8" formatCode="General">
                  <c:v>60.2</c:v>
                </c:pt>
                <c:pt idx="9">
                  <c:v>59.5</c:v>
                </c:pt>
                <c:pt idx="10">
                  <c:v>45.8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opłacalność_zmiana!$A$6</c:f>
              <c:strCache>
                <c:ptCount val="1"/>
                <c:pt idx="0">
                  <c:v>pogorszyła się</c:v>
                </c:pt>
              </c:strCache>
            </c:strRef>
          </c:tx>
          <c:spPr>
            <a:ln w="25400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opłacalność_zmiana!$B$3:$L$3</c:f>
              <c:strCache>
                <c:ptCount val="11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</c:strCache>
            </c:strRef>
          </c:cat>
          <c:val>
            <c:numRef>
              <c:f>opłacalność_zmiana!$B$6:$L$6</c:f>
              <c:numCache>
                <c:formatCode>0.0</c:formatCode>
                <c:ptCount val="11"/>
                <c:pt idx="0">
                  <c:v>40.300000000000004</c:v>
                </c:pt>
                <c:pt idx="1">
                  <c:v>36.200000000000003</c:v>
                </c:pt>
                <c:pt idx="2">
                  <c:v>35.200000000000003</c:v>
                </c:pt>
                <c:pt idx="3" formatCode="General">
                  <c:v>53.2</c:v>
                </c:pt>
                <c:pt idx="4" formatCode="General">
                  <c:v>61.5</c:v>
                </c:pt>
                <c:pt idx="5" formatCode="General">
                  <c:v>56.6</c:v>
                </c:pt>
                <c:pt idx="6">
                  <c:v>50.9</c:v>
                </c:pt>
                <c:pt idx="7" formatCode="General">
                  <c:v>32.5</c:v>
                </c:pt>
                <c:pt idx="8" formatCode="General">
                  <c:v>26.3</c:v>
                </c:pt>
                <c:pt idx="9">
                  <c:v>29</c:v>
                </c:pt>
                <c:pt idx="10">
                  <c:v>50.8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0642240"/>
        <c:axId val="1550648224"/>
      </c:lineChart>
      <c:catAx>
        <c:axId val="1550642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50648224"/>
        <c:crosses val="autoZero"/>
        <c:auto val="1"/>
        <c:lblAlgn val="ctr"/>
        <c:lblOffset val="100"/>
        <c:noMultiLvlLbl val="0"/>
      </c:catAx>
      <c:valAx>
        <c:axId val="1550648224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550642240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8.0417804025331909E-3"/>
          <c:y val="0.89991184308068362"/>
          <c:w val="0.96526803976876441"/>
          <c:h val="9.5237450787401728E-2"/>
        </c:manualLayout>
      </c:layout>
      <c:overlay val="0"/>
      <c:txPr>
        <a:bodyPr/>
        <a:lstStyle/>
        <a:p>
          <a:pPr>
            <a:defRPr sz="800" spc="0" baseline="0">
              <a:latin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0.0483</cdr:x>
      <cdr:y>0</cdr:y>
    </cdr:from>
    <cdr:to>
      <cdr:x>0.10555</cdr:x>
      <cdr:y>0.0875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57175" y="0"/>
          <a:ext cx="3048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/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B48CD419-EBAC-446A-B51C-228EC26B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1701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Żołynia Marcin</cp:lastModifiedBy>
  <cp:revision>3</cp:revision>
  <cp:lastPrinted>2018-03-28T10:28:00Z</cp:lastPrinted>
  <dcterms:created xsi:type="dcterms:W3CDTF">2018-10-01T07:27:00Z</dcterms:created>
  <dcterms:modified xsi:type="dcterms:W3CDTF">2018-10-01T07:27:00Z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