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20C36" w14:textId="63E56D1A" w:rsidR="0098135C" w:rsidRPr="00C6635C" w:rsidRDefault="00D142E2" w:rsidP="008A697D">
      <w:pPr>
        <w:pStyle w:val="tytuinformacji"/>
        <w:rPr>
          <w:color w:val="auto"/>
          <w:shd w:val="clear" w:color="auto" w:fill="FFFFFF"/>
        </w:rPr>
      </w:pPr>
      <w:r w:rsidRPr="00C6635C">
        <w:rPr>
          <w:color w:val="auto"/>
          <w:shd w:val="clear" w:color="auto" w:fill="FFFFFF"/>
        </w:rPr>
        <w:t xml:space="preserve">Ruch graniczny </w:t>
      </w:r>
      <w:r>
        <w:rPr>
          <w:color w:val="auto"/>
          <w:shd w:val="clear" w:color="auto" w:fill="FFFFFF"/>
        </w:rPr>
        <w:t xml:space="preserve">na zewnętrznej granicy Unii Europejskiej na terenie Polski </w:t>
      </w:r>
      <w:r w:rsidRPr="00C6635C">
        <w:rPr>
          <w:color w:val="auto"/>
          <w:shd w:val="clear" w:color="auto" w:fill="FFFFFF"/>
        </w:rPr>
        <w:t>w I kwartale 20</w:t>
      </w:r>
      <w:r>
        <w:rPr>
          <w:color w:val="auto"/>
          <w:shd w:val="clear" w:color="auto" w:fill="FFFFFF"/>
        </w:rPr>
        <w:t>20</w:t>
      </w:r>
      <w:r w:rsidRPr="00C6635C">
        <w:rPr>
          <w:color w:val="auto"/>
          <w:shd w:val="clear" w:color="auto" w:fill="FFFFFF"/>
        </w:rPr>
        <w:t xml:space="preserve"> r.</w:t>
      </w:r>
    </w:p>
    <w:p w14:paraId="7B920C37" w14:textId="0A3EFCA6" w:rsidR="00393761" w:rsidRPr="00C6635C" w:rsidRDefault="00393761" w:rsidP="00074DD8">
      <w:pPr>
        <w:pStyle w:val="tytuinformacji"/>
        <w:rPr>
          <w:color w:val="auto"/>
          <w:sz w:val="20"/>
          <w:szCs w:val="20"/>
        </w:rPr>
      </w:pPr>
    </w:p>
    <w:p w14:paraId="68958047" w14:textId="3F321BBE" w:rsidR="00D142E2" w:rsidRPr="007F4F5E" w:rsidRDefault="00C34FC1" w:rsidP="00D142E2">
      <w:pPr>
        <w:pStyle w:val="tekstzboku"/>
        <w:spacing w:before="0"/>
        <w:rPr>
          <w:b/>
          <w:color w:val="auto"/>
          <w:szCs w:val="20"/>
        </w:rPr>
      </w:pPr>
      <w:r w:rsidRPr="0040162C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05F1C52" wp14:editId="665E2EA7">
                <wp:simplePos x="0" y="0"/>
                <wp:positionH relativeFrom="margin">
                  <wp:posOffset>0</wp:posOffset>
                </wp:positionH>
                <wp:positionV relativeFrom="paragraph">
                  <wp:posOffset>114712</wp:posOffset>
                </wp:positionV>
                <wp:extent cx="2042160" cy="1282065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128206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DF236" w14:textId="7B956C4B" w:rsidR="00C34FC1" w:rsidRPr="00A564D9" w:rsidRDefault="00C34FC1" w:rsidP="00C34FC1">
                            <w:pPr>
                              <w:spacing w:before="60"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58F8F157" wp14:editId="614F6DBF">
                                  <wp:extent cx="333375" cy="333375"/>
                                  <wp:effectExtent l="0" t="0" r="9525" b="9525"/>
                                  <wp:docPr id="12" name="Obraz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13,</w:t>
                            </w:r>
                            <w:r w:rsidRPr="00A564D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3%</w:t>
                            </w:r>
                          </w:p>
                          <w:p w14:paraId="45111BF7" w14:textId="2CFF6727" w:rsidR="00C34FC1" w:rsidRPr="006F7531" w:rsidRDefault="00C34FC1" w:rsidP="00C34FC1">
                            <w:pPr>
                              <w:pStyle w:val="tekstnaniebieskimtle"/>
                              <w:ind w:right="-57"/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Spadek </w:t>
                            </w:r>
                            <w:r w:rsidRPr="00194C20">
                              <w:rPr>
                                <w:sz w:val="19"/>
                                <w:szCs w:val="19"/>
                              </w:rPr>
                              <w:t>liczby przekroczeń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granicy zewnętrznej UE na terenie Polski w I kwartale 2020</w:t>
                            </w:r>
                            <w:r w:rsidRPr="00194C20">
                              <w:rPr>
                                <w:sz w:val="19"/>
                                <w:szCs w:val="19"/>
                              </w:rPr>
                              <w:t xml:space="preserve"> r.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w stosunku do I kwartału </w:t>
                            </w:r>
                            <w:r w:rsidRPr="008A697D">
                              <w:t>201</w:t>
                            </w:r>
                            <w:r>
                              <w:t xml:space="preserve">9 </w:t>
                            </w:r>
                            <w:r w:rsidRPr="008A697D">
                              <w:t>r</w:t>
                            </w:r>
                            <w:r>
                              <w:t>.</w:t>
                            </w:r>
                          </w:p>
                          <w:p w14:paraId="41B1B1A5" w14:textId="19B16234" w:rsidR="00C34FC1" w:rsidRPr="00871128" w:rsidRDefault="00C34FC1" w:rsidP="00C34FC1">
                            <w:pPr>
                              <w:spacing w:before="0" w:after="20" w:line="240" w:lineRule="auto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F1C5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9.05pt;width:160.8pt;height:100.9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eIyJgIAACEEAAAOAAAAZHJzL2Uyb0RvYy54bWysU9tu2zAMfR+wfxD0vviC3GrEKbpkHQZ0&#10;W4FuHyDLcixUEjVJiZ19/SglTbPtbZgfBNIkjw4PqdXtqBU5COclmJoWk5wSYTi00uxq+v3b/bsl&#10;JT4w0zIFRtT0KDy9Xb99sxpsJUroQbXCEQQxvhpsTfsQbJVlnvdCMz8BKwwGO3CaBXTdLmsdGxBd&#10;q6zM83k2gGutAy68x7/bU5CuE37XCR6+dp0XgaiaIreQTpfOJp7ZesWqnWO2l/xMg/0DC82kwUsv&#10;UFsWGNk7+ReUltyBhy5MOOgMuk5ykXrAbor8j26eemZF6gXF8fYik/9/sPzL4dER2dZ0RolhGkf0&#10;CEqQIJ59gEGQMko0WF9h5pPF3DC+hxFHndr19gH4sycGNj0zO3HnHAy9YC1SLGJldlV6wvERpBk+&#10;Q4t3sX2ABDR2Tkf9UBGC6Diq42U8YgyE488yn5bFHEMcY0W5LPP5LN3Bqpdy63z4KECTaNTU4fwT&#10;PDs8+BDpsOolJd7mQcn2XiqVHLdrNsqRA4u7khfbxeKM/luaMmSo6c2snCVkA7E+rZGWAXdZSV3T&#10;ZR6/WM6qKMcH0yY7MKlONjJR5qxPlOQkThibEROjaA20R1TKwWln8Y2h0YP7ScmA+1pT/2PPnKBE&#10;fTKo9k0xncYFT850tijRcdeR5jrCDEeomgZKTuYmpEcR+Rq4w6l0Mun1yuTMFfcwyXh+M3HRr/2U&#10;9fqy178AAAD//wMAUEsDBBQABgAIAAAAIQCh1rrt3AAAAAcBAAAPAAAAZHJzL2Rvd25yZXYueG1s&#10;TI/BTsMwEETvSPyDtUjcqJOAqiiNUyFQDoBA0HLhto23SUS8jmK3DX/PcqLH2VnNvCnXsxvUkabQ&#10;ezaQLhJQxI23PbcGPrf1TQ4qRGSLg2cy8EMB1tXlRYmF9Sf+oOMmtkpCOBRooItxLLQOTUcOw8KP&#10;xOLt/eQwipxabSc8SbgbdJYkS+2wZ2nocKSHjprvzcEZuEvfmvw9fG3Zv9ZZ/fKI7ik8G3N9Nd+v&#10;QEWa4/8z/OELOlTCtPMHtkENBmRIlGueghL3NkuXoHYGMmkFXZX6nL/6BQAA//8DAFBLAQItABQA&#10;BgAIAAAAIQC2gziS/gAAAOEBAAATAAAAAAAAAAAAAAAAAAAAAABbQ29udGVudF9UeXBlc10ueG1s&#10;UEsBAi0AFAAGAAgAAAAhADj9If/WAAAAlAEAAAsAAAAAAAAAAAAAAAAALwEAAF9yZWxzLy5yZWxz&#10;UEsBAi0AFAAGAAgAAAAhAJbd4jImAgAAIQQAAA4AAAAAAAAAAAAAAAAALgIAAGRycy9lMm9Eb2Mu&#10;eG1sUEsBAi0AFAAGAAgAAAAhAKHWuu3cAAAABwEAAA8AAAAAAAAAAAAAAAAAgAQAAGRycy9kb3du&#10;cmV2LnhtbFBLBQYAAAAABAAEAPMAAACJBQAAAAA=&#10;" fillcolor="#001d77" stroked="f">
                <v:textbox>
                  <w:txbxContent>
                    <w:p w14:paraId="142DF236" w14:textId="7B956C4B" w:rsidR="00C34FC1" w:rsidRPr="00A564D9" w:rsidRDefault="00C34FC1" w:rsidP="00C34FC1">
                      <w:pPr>
                        <w:spacing w:before="60"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58F8F157" wp14:editId="614F6DBF">
                            <wp:extent cx="333375" cy="333375"/>
                            <wp:effectExtent l="0" t="0" r="9525" b="9525"/>
                            <wp:docPr id="12" name="Obraz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FFFF" w:themeColor="background1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13,</w:t>
                      </w:r>
                      <w:r w:rsidRPr="00A564D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3%</w:t>
                      </w:r>
                    </w:p>
                    <w:p w14:paraId="45111BF7" w14:textId="2CFF6727" w:rsidR="00C34FC1" w:rsidRPr="006F7531" w:rsidRDefault="00C34FC1" w:rsidP="00C34FC1">
                      <w:pPr>
                        <w:pStyle w:val="tekstnaniebieskimtle"/>
                        <w:ind w:right="-57"/>
                        <w:rPr>
                          <w:color w:val="FFFFFF" w:themeColor="background1"/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Spadek </w:t>
                      </w:r>
                      <w:r w:rsidRPr="00194C20">
                        <w:rPr>
                          <w:sz w:val="19"/>
                          <w:szCs w:val="19"/>
                        </w:rPr>
                        <w:t>liczby przekroczeń</w:t>
                      </w:r>
                      <w:r>
                        <w:rPr>
                          <w:sz w:val="19"/>
                          <w:szCs w:val="19"/>
                        </w:rPr>
                        <w:t xml:space="preserve"> granicy zewnętrznej UE na terenie Polski</w:t>
                      </w: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w I kwartale 2020</w:t>
                      </w:r>
                      <w:r w:rsidRPr="00194C20">
                        <w:rPr>
                          <w:sz w:val="19"/>
                          <w:szCs w:val="19"/>
                        </w:rPr>
                        <w:t xml:space="preserve"> r.</w:t>
                      </w:r>
                      <w:r>
                        <w:rPr>
                          <w:sz w:val="19"/>
                          <w:szCs w:val="19"/>
                        </w:rPr>
                        <w:t xml:space="preserve"> w stosunku do</w:t>
                      </w: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 xml:space="preserve">I kwartału </w:t>
                      </w:r>
                      <w:r w:rsidRPr="008A697D">
                        <w:t>201</w:t>
                      </w:r>
                      <w:r>
                        <w:t xml:space="preserve">9 </w:t>
                      </w:r>
                      <w:r w:rsidRPr="008A697D">
                        <w:t>r</w:t>
                      </w:r>
                      <w:r>
                        <w:t>.</w:t>
                      </w:r>
                    </w:p>
                    <w:p w14:paraId="41B1B1A5" w14:textId="19B16234" w:rsidR="00C34FC1" w:rsidRPr="00871128" w:rsidRDefault="00C34FC1" w:rsidP="00C34FC1">
                      <w:pPr>
                        <w:spacing w:before="0" w:after="20" w:line="240" w:lineRule="auto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7022" w:rsidRPr="008749AC">
        <w:rPr>
          <w:b/>
          <w:color w:val="FF0000"/>
          <w:szCs w:val="20"/>
        </w:rPr>
        <w:br/>
      </w:r>
      <w:r w:rsidR="00D142E2" w:rsidRPr="007F4F5E">
        <w:rPr>
          <w:b/>
          <w:color w:val="auto"/>
          <w:szCs w:val="20"/>
        </w:rPr>
        <w:t>W I kwartale 2020 r. na zewnętrznej granicy lądowej Unii Europejskiej na terenie Polski odnotowano 6,4 mln odpraw (o 13,3% mniej niż w I kwartale 2019 r.), z tego:</w:t>
      </w:r>
    </w:p>
    <w:p w14:paraId="4A6715FC" w14:textId="77777777" w:rsidR="00D142E2" w:rsidRPr="007F4F5E" w:rsidRDefault="00D142E2" w:rsidP="00D142E2">
      <w:pPr>
        <w:pStyle w:val="tekstzboku"/>
        <w:spacing w:before="0"/>
        <w:rPr>
          <w:b/>
          <w:color w:val="auto"/>
          <w:szCs w:val="20"/>
        </w:rPr>
      </w:pPr>
      <w:r w:rsidRPr="007F4F5E">
        <w:rPr>
          <w:b/>
          <w:color w:val="auto"/>
          <w:szCs w:val="20"/>
        </w:rPr>
        <w:t>•</w:t>
      </w:r>
      <w:r w:rsidRPr="007F4F5E">
        <w:rPr>
          <w:b/>
          <w:color w:val="auto"/>
          <w:szCs w:val="20"/>
        </w:rPr>
        <w:tab/>
      </w:r>
      <w:r w:rsidRPr="007F4F5E">
        <w:rPr>
          <w:b/>
          <w:color w:val="auto"/>
          <w:spacing w:val="-2"/>
          <w:szCs w:val="20"/>
        </w:rPr>
        <w:t xml:space="preserve">5,7 mln cudzoziemców - o 12,1% mniej niż w I kw. 2019 r., </w:t>
      </w:r>
    </w:p>
    <w:p w14:paraId="6FC3377D" w14:textId="77777777" w:rsidR="00D142E2" w:rsidRPr="003A1A3A" w:rsidRDefault="00D142E2" w:rsidP="00D142E2">
      <w:pPr>
        <w:pStyle w:val="tekstzboku"/>
        <w:spacing w:before="0"/>
        <w:rPr>
          <w:b/>
          <w:color w:val="auto"/>
          <w:szCs w:val="20"/>
        </w:rPr>
      </w:pPr>
      <w:r w:rsidRPr="007F4F5E">
        <w:rPr>
          <w:b/>
          <w:color w:val="auto"/>
          <w:szCs w:val="20"/>
        </w:rPr>
        <w:t>•</w:t>
      </w:r>
      <w:r w:rsidRPr="007F4F5E">
        <w:rPr>
          <w:b/>
          <w:color w:val="auto"/>
          <w:szCs w:val="20"/>
        </w:rPr>
        <w:tab/>
        <w:t>0,7 mln Polaków - o 22,8% mniej niż w I kw</w:t>
      </w:r>
      <w:r>
        <w:rPr>
          <w:b/>
          <w:color w:val="auto"/>
          <w:szCs w:val="20"/>
        </w:rPr>
        <w:t>.</w:t>
      </w:r>
      <w:r w:rsidRPr="007F4F5E">
        <w:rPr>
          <w:b/>
          <w:color w:val="auto"/>
          <w:szCs w:val="20"/>
        </w:rPr>
        <w:t xml:space="preserve"> 2019 r.</w:t>
      </w:r>
    </w:p>
    <w:p w14:paraId="7D6314BB" w14:textId="0D2A28FA" w:rsidR="00B57022" w:rsidRPr="002E0129" w:rsidRDefault="00B57022" w:rsidP="00194C20">
      <w:pPr>
        <w:pStyle w:val="tekstnaniebieskimtle"/>
        <w:ind w:left="-57" w:right="-57"/>
        <w:rPr>
          <w:b/>
          <w:sz w:val="12"/>
          <w:szCs w:val="12"/>
        </w:rPr>
      </w:pPr>
    </w:p>
    <w:p w14:paraId="7C96C1E3" w14:textId="77777777" w:rsidR="00990C91" w:rsidRPr="002E0129" w:rsidRDefault="00990C91" w:rsidP="00194C20">
      <w:pPr>
        <w:pStyle w:val="tekstnaniebieskimtle"/>
        <w:ind w:left="-57" w:right="-57"/>
        <w:rPr>
          <w:b/>
          <w:sz w:val="12"/>
          <w:szCs w:val="12"/>
        </w:rPr>
      </w:pPr>
    </w:p>
    <w:p w14:paraId="2C9B71F2" w14:textId="305A4EEC" w:rsidR="00B57022" w:rsidRPr="00460060" w:rsidRDefault="00B57022" w:rsidP="00B57022">
      <w:pPr>
        <w:pStyle w:val="Nagwek1"/>
        <w:rPr>
          <w:color w:val="auto"/>
        </w:rPr>
      </w:pPr>
    </w:p>
    <w:p w14:paraId="6547775D" w14:textId="2357F1BA" w:rsidR="00D142E2" w:rsidRPr="00572309" w:rsidRDefault="00D142E2" w:rsidP="00D142E2">
      <w:pPr>
        <w:pStyle w:val="LID"/>
        <w:spacing w:before="0"/>
        <w:rPr>
          <w:b w:val="0"/>
        </w:rPr>
      </w:pPr>
      <w:r w:rsidRPr="00572309">
        <w:rPr>
          <w:b w:val="0"/>
          <w:noProof w:val="0"/>
          <w:lang w:eastAsia="en-US"/>
        </w:rPr>
        <w:t>Najwięcej osób przekraczało granicę polsko-ukraińską (64,0% ogółu przekroczeń zewnętrznej granicy lądowej Unii Europejskiej na terenie Polski), następnie granicę z</w:t>
      </w:r>
      <w:r w:rsidRPr="00572309">
        <w:rPr>
          <w:noProof w:val="0"/>
          <w:lang w:eastAsia="en-US"/>
        </w:rPr>
        <w:t> </w:t>
      </w:r>
      <w:r w:rsidRPr="00572309">
        <w:rPr>
          <w:b w:val="0"/>
          <w:noProof w:val="0"/>
          <w:lang w:eastAsia="en-US"/>
        </w:rPr>
        <w:t xml:space="preserve">Białorusią (26,0%) </w:t>
      </w:r>
      <w:r w:rsidR="00572309">
        <w:rPr>
          <w:b w:val="0"/>
          <w:noProof w:val="0"/>
          <w:lang w:eastAsia="en-US"/>
        </w:rPr>
        <w:br/>
      </w:r>
      <w:r w:rsidRPr="00572309">
        <w:rPr>
          <w:b w:val="0"/>
          <w:noProof w:val="0"/>
          <w:lang w:eastAsia="en-US"/>
        </w:rPr>
        <w:t>i z Rosją (10,0%).</w:t>
      </w:r>
    </w:p>
    <w:p w14:paraId="3D5BE6EC" w14:textId="3AE14B0D" w:rsidR="00925756" w:rsidRPr="007056EA" w:rsidRDefault="00925756" w:rsidP="004F568A">
      <w:pPr>
        <w:pStyle w:val="Nagwek1"/>
        <w:spacing w:before="0" w:after="0"/>
        <w:rPr>
          <w:color w:val="auto"/>
          <w:sz w:val="18"/>
          <w:szCs w:val="18"/>
        </w:rPr>
      </w:pPr>
    </w:p>
    <w:p w14:paraId="3E0AC559" w14:textId="77777777" w:rsidR="00D142E2" w:rsidRPr="005332D9" w:rsidRDefault="00D142E2" w:rsidP="00D142E2">
      <w:pPr>
        <w:spacing w:before="0" w:after="240" w:line="240" w:lineRule="auto"/>
        <w:ind w:left="680" w:hanging="680"/>
        <w:rPr>
          <w:rFonts w:eastAsia="Times New Roman" w:cs="Arial"/>
          <w:sz w:val="18"/>
          <w:szCs w:val="18"/>
          <w:lang w:eastAsia="pl-PL"/>
        </w:rPr>
      </w:pPr>
      <w:r w:rsidRPr="007F4F5E">
        <w:rPr>
          <w:rFonts w:eastAsia="Times New Roman" w:cs="Arial"/>
          <w:b/>
          <w:sz w:val="18"/>
          <w:szCs w:val="18"/>
          <w:lang w:eastAsia="pl-PL"/>
        </w:rPr>
        <w:t>Wykres 1. Ruch graniczny według odcinków granic</w:t>
      </w:r>
      <w:r>
        <w:rPr>
          <w:rFonts w:eastAsia="Times New Roman" w:cs="Arial"/>
          <w:b/>
          <w:sz w:val="18"/>
          <w:szCs w:val="18"/>
          <w:lang w:eastAsia="pl-PL"/>
        </w:rPr>
        <w:t>y zewnętrznej UE na terenie Polski</w:t>
      </w:r>
    </w:p>
    <w:p w14:paraId="793ED71A" w14:textId="160EA557" w:rsidR="008A697D" w:rsidRPr="002E0129" w:rsidRDefault="0075571D" w:rsidP="00EF058C">
      <w:pPr>
        <w:tabs>
          <w:tab w:val="left" w:pos="-840"/>
        </w:tabs>
        <w:spacing w:after="0" w:line="240" w:lineRule="auto"/>
        <w:ind w:left="709"/>
        <w:rPr>
          <w:szCs w:val="19"/>
        </w:rPr>
      </w:pPr>
      <w:r w:rsidRPr="00AA1552">
        <w:rPr>
          <w:rFonts w:ascii="Fira Sans SemiBold" w:hAnsi="Fira Sans SemiBold"/>
          <w:noProof/>
          <w:color w:val="002060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1D14D9F7" wp14:editId="0329BD66">
                <wp:simplePos x="0" y="0"/>
                <wp:positionH relativeFrom="column">
                  <wp:posOffset>5232400</wp:posOffset>
                </wp:positionH>
                <wp:positionV relativeFrom="paragraph">
                  <wp:posOffset>1906270</wp:posOffset>
                </wp:positionV>
                <wp:extent cx="1802765" cy="784225"/>
                <wp:effectExtent l="0" t="0" r="0" b="0"/>
                <wp:wrapTight wrapText="bothSides">
                  <wp:wrapPolygon edited="0">
                    <wp:start x="685" y="0"/>
                    <wp:lineTo x="685" y="20988"/>
                    <wp:lineTo x="20771" y="20988"/>
                    <wp:lineTo x="20771" y="0"/>
                    <wp:lineTo x="68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765" cy="784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1F1D9" w14:textId="7D3412F3" w:rsidR="00A935CC" w:rsidRPr="00501187" w:rsidRDefault="00A935CC" w:rsidP="00A935CC">
                            <w:pPr>
                              <w:pStyle w:val="tekstzboku"/>
                              <w:spacing w:before="0"/>
                            </w:pPr>
                            <w:r w:rsidRPr="00A935CC">
                              <w:t>W I kwartale 2020 r. najwięcej przekroczeń granicy zewnętrznej odnotowano w</w:t>
                            </w:r>
                            <w:r>
                              <w:t xml:space="preserve"> styczniu, zaś najmniej w marcu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c="http://schemas.openxmlformats.org/drawingml/2006/chart" xmlns:a="http://schemas.openxmlformats.org/drawingml/2006/main">
            <w:pict>
              <v:shape id="_x0000_s1027" style="position:absolute;left:0;text-align:left;margin-left:412pt;margin-top:150.1pt;width:141.95pt;height:61.7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2J/DgIAAP4DAAAOAAAAZHJzL2Uyb0RvYy54bWysU9Fu2yAUfZ+0f0C8L3aspEmtkKpr12lS&#10;t1Xq+gEE4xgVuAxI7Ozrd8FpGnVv1fyAuL5w7j3nHlZXg9FkL31QYBmdTkpKpBXQKLtl9OnX3acl&#10;JSFy23ANVjJ6kIFerT9+WPWulhV0oBvpCYLYUPeO0S5GVxdFEJ00PEzASYvJFrzhEUO/LRrPe0Q3&#10;uqjK8qLowTfOg5Ah4N/bMUnXGb9tpYg/2zbISDSj2FvMq8/rJq3FesXrreeuU+LYBn9HF4Yri0VP&#10;ULc8crLz6h8oo4SHAG2cCDAFtK0SMnNANtPyDZvHjjuZuaA4wZ1kCv8PVvzYP3iiGkYrSiw3OKIH&#10;0JJE+Rwi9JJUSaLehRpPPjo8G4fPMOCoM93g7kE8B2LhpuN2K6+9h76TvMEWp+lmcXZ1xAkJZNN/&#10;hwZr8V2EDDS03iT9UBGC6Diqw2k8cohEpJLLslpczCkRmFssZ1U1zyV4/XLb+RC/SjAkbRj1OP6M&#10;zvf3IaZueP1yJBWzcKe0zhbQlvSMXs4R8k3GqIgO1cowuizTN3omkfxim3w5cqXHPRbQ9sg6ER0p&#10;x2EzZI2zJEmRDTQHlMHDaEh8QLjpwP+hpEczMhp+77iXlOhvFqW8nM5myb05mM0XFQb+PLM5z3Ar&#10;EIrRSMm4vYnZ8SOxa5S8VVmN106OLaPJskjHB5FcfB7nU6/Pdv0XAAD//wMAUEsDBBQABgAIAAAA&#10;IQAtngVT4AAAAAwBAAAPAAAAZHJzL2Rvd25yZXYueG1sTI/NbsIwEITvlXgHa5F6KzYhLZBmg1Cr&#10;XltBf6TeTLwkEfE6ig1J377m1B5HM5r5Jt+MthUX6n3jGGE+UyCIS2carhA+3l/uViB80Gx065gQ&#10;fsjDppjc5DozbuAdXfahErGEfaYR6hC6TEpf1mS1n7mOOHpH11sdouwraXo9xHLbykSpB2l1w3Gh&#10;1h091VSe9meL8Pl6/P5K1Vv1bO+7wY1Ksl1LxNvpuH0EEWgMf2G44kd0KCLTwZ3ZeNEirJI0fgkI&#10;C6USENfEXC3XIA4IabJYgixy+f9E8QsAAP//AwBQSwECLQAUAAYACAAAACEAtoM4kv4AAADhAQAA&#10;EwAAAAAAAAAAAAAAAAAAAAAAW0NvbnRlbnRfVHlwZXNdLnhtbFBLAQItABQABgAIAAAAIQA4/SH/&#10;1gAAAJQBAAALAAAAAAAAAAAAAAAAAC8BAABfcmVscy8ucmVsc1BLAQItABQABgAIAAAAIQAqs2J/&#10;DgIAAP4DAAAOAAAAAAAAAAAAAAAAAC4CAABkcnMvZTJvRG9jLnhtbFBLAQItABQABgAIAAAAIQAt&#10;ngVT4AAAAAwBAAAPAAAAAAAAAAAAAAAAAGgEAABkcnMvZG93bnJldi54bWxQSwUGAAAAAAQABADz&#10;AAAAdQUAAAAA&#10;" w14:anchorId="1D14D9F7">
                <v:textbox>
                  <w:txbxContent>
                    <w:p w:rsidRPr="00501187" w:rsidR="00A935CC" w:rsidP="00A935CC" w:rsidRDefault="00A935CC" w14:paraId="02A1F1D9" w14:textId="7D3412F3">
                      <w:pPr>
                        <w:pStyle w:val="tekstzboku"/>
                        <w:spacing w:before="0"/>
                      </w:pPr>
                      <w:r w:rsidRPr="00A935CC">
                        <w:t>W I kwartale 2020 r. najwięcej przekroczeń granicy zewnętrznej odnotowano w</w:t>
                      </w:r>
                      <w:r>
                        <w:t xml:space="preserve"> styczniu, zaś najmniej w marcu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142E2">
        <w:rPr>
          <w:noProof/>
          <w:lang w:eastAsia="pl-PL"/>
        </w:rPr>
        <w:drawing>
          <wp:inline distT="0" distB="0" distL="0" distR="0" wp14:anchorId="0C6E3E80" wp14:editId="7B7B5580">
            <wp:extent cx="4032914" cy="187200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BD12462" w14:textId="2B05BC1E" w:rsidR="00D142E2" w:rsidRPr="007F4F5E" w:rsidRDefault="00D142E2" w:rsidP="00D142E2">
      <w:pPr>
        <w:tabs>
          <w:tab w:val="left" w:pos="-840"/>
        </w:tabs>
        <w:spacing w:after="0"/>
        <w:rPr>
          <w:szCs w:val="19"/>
        </w:rPr>
      </w:pPr>
      <w:r w:rsidRPr="002E0129">
        <w:rPr>
          <w:szCs w:val="19"/>
        </w:rPr>
        <w:t>Wśród cudzoziemców przekraczających poszczególne odcinki granicy dominowali oby</w:t>
      </w:r>
      <w:r w:rsidRPr="007F4F5E">
        <w:rPr>
          <w:szCs w:val="19"/>
        </w:rPr>
        <w:t>watele kraju sąsiadującego – i tak na granicy z Ukrainą 97,2% stanowili obywatele Ukrainy, na granicy z Rosją 90,8% to obywatele Rosji, a na granicy z Białorusią 87,9% to obywatele Białorusi.</w:t>
      </w:r>
    </w:p>
    <w:p w14:paraId="416D91FA" w14:textId="77777777" w:rsidR="00D142E2" w:rsidRDefault="00D142E2" w:rsidP="00D142E2">
      <w:pPr>
        <w:tabs>
          <w:tab w:val="left" w:pos="-840"/>
        </w:tabs>
        <w:spacing w:after="0"/>
        <w:rPr>
          <w:szCs w:val="19"/>
        </w:rPr>
      </w:pPr>
      <w:r w:rsidRPr="007F4F5E">
        <w:rPr>
          <w:szCs w:val="19"/>
        </w:rPr>
        <w:t>W I kwartale 2020 r. najwięcej przekroczeń granicy zewnętrznej, zarówno przez cudzoziemców jak i Polaków, odnotowano w styczniu (po 41,4% ogółu odpraw cudzoziemców i Polaków</w:t>
      </w:r>
      <w:r>
        <w:rPr>
          <w:szCs w:val="19"/>
        </w:rPr>
        <w:br/>
      </w:r>
      <w:r w:rsidRPr="007F4F5E">
        <w:rPr>
          <w:szCs w:val="19"/>
        </w:rPr>
        <w:t>w ciągu I kwartału), zaś najmniej w marcu (odpowiednio 20,6% i 18,7%). W I kwartale 2019 r. największe natężenie ruchu granicznego wśród cudzoziemców i Polaków odnotowano</w:t>
      </w:r>
      <w:r>
        <w:rPr>
          <w:szCs w:val="19"/>
        </w:rPr>
        <w:br/>
      </w:r>
      <w:r w:rsidRPr="007F4F5E">
        <w:rPr>
          <w:szCs w:val="19"/>
        </w:rPr>
        <w:t>w marcu (odpowiednio 36,5% i 36,0% ogółu odpraw cudzoziemców i Polaków)</w:t>
      </w:r>
      <w:r>
        <w:rPr>
          <w:szCs w:val="19"/>
        </w:rPr>
        <w:t>.</w:t>
      </w:r>
    </w:p>
    <w:p w14:paraId="2385FD83" w14:textId="77777777" w:rsidR="00D142E2" w:rsidRDefault="00D142E2" w:rsidP="00D142E2">
      <w:pPr>
        <w:spacing w:before="0" w:after="0" w:line="240" w:lineRule="auto"/>
        <w:ind w:left="680" w:hanging="680"/>
        <w:rPr>
          <w:rFonts w:eastAsia="Times New Roman" w:cs="Arial"/>
          <w:b/>
          <w:sz w:val="18"/>
          <w:szCs w:val="18"/>
          <w:lang w:eastAsia="pl-PL"/>
        </w:rPr>
      </w:pPr>
    </w:p>
    <w:p w14:paraId="665B4E53" w14:textId="77777777" w:rsidR="00D142E2" w:rsidRPr="008618A9" w:rsidRDefault="00D142E2" w:rsidP="00D142E2">
      <w:pPr>
        <w:spacing w:before="0" w:after="240" w:line="240" w:lineRule="auto"/>
        <w:ind w:left="851" w:hanging="851"/>
        <w:rPr>
          <w:rFonts w:eastAsia="Times New Roman" w:cs="Arial"/>
          <w:sz w:val="18"/>
          <w:szCs w:val="18"/>
          <w:lang w:eastAsia="pl-PL"/>
        </w:rPr>
      </w:pPr>
      <w:r w:rsidRPr="008618A9">
        <w:rPr>
          <w:rFonts w:eastAsia="Times New Roman" w:cs="Arial"/>
          <w:b/>
          <w:sz w:val="18"/>
          <w:szCs w:val="18"/>
          <w:lang w:eastAsia="pl-PL"/>
        </w:rPr>
        <w:t xml:space="preserve">Wykres 2. Ruch graniczny według miesięcy </w:t>
      </w:r>
      <w:r>
        <w:rPr>
          <w:rFonts w:eastAsia="Times New Roman" w:cs="Arial"/>
          <w:b/>
          <w:sz w:val="18"/>
          <w:szCs w:val="18"/>
          <w:lang w:eastAsia="pl-PL"/>
        </w:rPr>
        <w:t xml:space="preserve">na granicy zewnętrznej UE na terenie Polski </w:t>
      </w:r>
      <w:r>
        <w:rPr>
          <w:rFonts w:eastAsia="Times New Roman" w:cs="Arial"/>
          <w:b/>
          <w:sz w:val="18"/>
          <w:szCs w:val="18"/>
          <w:lang w:eastAsia="pl-PL"/>
        </w:rPr>
        <w:br/>
        <w:t>w I kwartale 2020 r. w porównaniu z I kwartałem 2019 r.</w:t>
      </w:r>
    </w:p>
    <w:p w14:paraId="25ADAAF6" w14:textId="1372FADD" w:rsidR="007F4F5E" w:rsidRPr="00C46337" w:rsidRDefault="00D142E2" w:rsidP="00D142E2">
      <w:pPr>
        <w:spacing w:before="0" w:after="240" w:line="240" w:lineRule="auto"/>
        <w:ind w:left="851"/>
        <w:rPr>
          <w:rFonts w:eastAsia="Times New Roman" w:cs="Arial"/>
          <w:spacing w:val="-4"/>
          <w:sz w:val="18"/>
          <w:szCs w:val="18"/>
          <w:lang w:eastAsia="pl-PL"/>
        </w:rPr>
      </w:pPr>
      <w:r>
        <w:rPr>
          <w:noProof/>
          <w:lang w:eastAsia="pl-PL"/>
        </w:rPr>
        <w:drawing>
          <wp:inline distT="0" distB="0" distL="0" distR="0" wp14:anchorId="3D0E9A18" wp14:editId="7651127F">
            <wp:extent cx="4053205" cy="1872000"/>
            <wp:effectExtent l="0" t="0" r="0" b="0"/>
            <wp:docPr id="25" name="Wykres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B90A288" w14:textId="77777777" w:rsidR="00D142E2" w:rsidRPr="002E0129" w:rsidRDefault="00D142E2" w:rsidP="00D142E2">
      <w:pPr>
        <w:overflowPunct w:val="0"/>
        <w:autoSpaceDE w:val="0"/>
        <w:autoSpaceDN w:val="0"/>
        <w:adjustRightInd w:val="0"/>
        <w:spacing w:after="0"/>
        <w:textAlignment w:val="baseline"/>
        <w:rPr>
          <w:spacing w:val="-2"/>
          <w:szCs w:val="19"/>
        </w:rPr>
      </w:pPr>
      <w:r w:rsidRPr="002E0129">
        <w:rPr>
          <w:spacing w:val="-2"/>
          <w:szCs w:val="19"/>
        </w:rPr>
        <w:lastRenderedPageBreak/>
        <w:t xml:space="preserve">Na granicy polsko-ukraińskiej odnotowano (w porównaniu do analogicznych okresów ub. roku) w styczniu wzrost odpraw cudzoziemców i Polaków </w:t>
      </w:r>
      <w:r>
        <w:rPr>
          <w:spacing w:val="-2"/>
          <w:szCs w:val="19"/>
        </w:rPr>
        <w:t xml:space="preserve">odpowiednio </w:t>
      </w:r>
      <w:r w:rsidRPr="002E0129">
        <w:rPr>
          <w:spacing w:val="-2"/>
          <w:szCs w:val="19"/>
        </w:rPr>
        <w:t>o 12,5% i 9,0%, w lutym wzrost odpraw cudzoziemców o 7,</w:t>
      </w:r>
      <w:r>
        <w:rPr>
          <w:spacing w:val="-2"/>
          <w:szCs w:val="19"/>
        </w:rPr>
        <w:t>7</w:t>
      </w:r>
      <w:r w:rsidRPr="002E0129">
        <w:rPr>
          <w:spacing w:val="-2"/>
          <w:szCs w:val="19"/>
        </w:rPr>
        <w:t>% i spadek liczby przekroczeń Polaków o 4,5%, a w marcu spadek odpraw zarówno cudzoziemców jak i Polaków odpowiednio o 48,6% i 61,5%.</w:t>
      </w:r>
    </w:p>
    <w:p w14:paraId="66B80E33" w14:textId="77777777" w:rsidR="00D142E2" w:rsidRPr="002E0129" w:rsidRDefault="00D142E2" w:rsidP="00D142E2">
      <w:pPr>
        <w:overflowPunct w:val="0"/>
        <w:autoSpaceDE w:val="0"/>
        <w:autoSpaceDN w:val="0"/>
        <w:adjustRightInd w:val="0"/>
        <w:spacing w:after="0"/>
        <w:textAlignment w:val="baseline"/>
        <w:rPr>
          <w:spacing w:val="-2"/>
          <w:szCs w:val="19"/>
        </w:rPr>
      </w:pPr>
      <w:r w:rsidRPr="002E0129">
        <w:rPr>
          <w:spacing w:val="-2"/>
          <w:szCs w:val="19"/>
        </w:rPr>
        <w:t xml:space="preserve">Na granicy polsko-białoruskiej w styczniu i lutym odnotowano, w porównaniu do analogicznych okresów ub. roku, wzrost odpraw cudzoziemców (odpowiednio </w:t>
      </w:r>
      <w:r>
        <w:rPr>
          <w:spacing w:val="-2"/>
          <w:szCs w:val="19"/>
        </w:rPr>
        <w:t>o 9,3% i 7,6%), jak i Polaków (o </w:t>
      </w:r>
      <w:r w:rsidRPr="002E0129">
        <w:rPr>
          <w:spacing w:val="-2"/>
          <w:szCs w:val="19"/>
        </w:rPr>
        <w:t>1,8% i 3,8%), natomiast w marcu spadek odpraw cudzoziemców o 51,3% i spadek liczby p</w:t>
      </w:r>
      <w:r>
        <w:rPr>
          <w:spacing w:val="-2"/>
          <w:szCs w:val="19"/>
        </w:rPr>
        <w:t>rzekroczeń Polaków o 49,3%.</w:t>
      </w:r>
    </w:p>
    <w:p w14:paraId="3E05AFB7" w14:textId="77777777" w:rsidR="00D142E2" w:rsidRDefault="00D142E2" w:rsidP="00D142E2">
      <w:pPr>
        <w:overflowPunct w:val="0"/>
        <w:autoSpaceDE w:val="0"/>
        <w:autoSpaceDN w:val="0"/>
        <w:adjustRightInd w:val="0"/>
        <w:spacing w:after="0"/>
        <w:textAlignment w:val="baseline"/>
        <w:rPr>
          <w:spacing w:val="-2"/>
          <w:szCs w:val="19"/>
        </w:rPr>
      </w:pPr>
      <w:r w:rsidRPr="002E0129">
        <w:rPr>
          <w:spacing w:val="-2"/>
          <w:szCs w:val="19"/>
        </w:rPr>
        <w:t>Z kolei na granicy polsko-rosyjskiej odnotowano, w porównaniu do analogicznych okresów ub. roku, w styczniu i lutym wzrost odpraw cudzoziemców (odpowiednio o 14,2% i 16,8%) oraz spadek odpraw Polaków (o 9,6% i 10,2%), a w marcu spadek od</w:t>
      </w:r>
      <w:r>
        <w:rPr>
          <w:spacing w:val="-2"/>
          <w:szCs w:val="19"/>
        </w:rPr>
        <w:t>praw zarówno cudzoziemców jak i </w:t>
      </w:r>
      <w:r w:rsidRPr="002E0129">
        <w:rPr>
          <w:spacing w:val="-2"/>
          <w:szCs w:val="19"/>
        </w:rPr>
        <w:t>Polaków odpowiednio o 64,9% i 66,8%.</w:t>
      </w:r>
    </w:p>
    <w:p w14:paraId="63B5E19B" w14:textId="77777777" w:rsidR="00280D30" w:rsidRDefault="00280D30" w:rsidP="00280D30">
      <w:pPr>
        <w:overflowPunct w:val="0"/>
        <w:autoSpaceDE w:val="0"/>
        <w:autoSpaceDN w:val="0"/>
        <w:adjustRightInd w:val="0"/>
        <w:spacing w:after="0"/>
        <w:textAlignment w:val="baseline"/>
        <w:rPr>
          <w:spacing w:val="-2"/>
          <w:szCs w:val="19"/>
        </w:rPr>
      </w:pPr>
    </w:p>
    <w:p w14:paraId="0EA02711" w14:textId="77777777" w:rsidR="002432BE" w:rsidRPr="005625E8" w:rsidRDefault="002432BE" w:rsidP="002432BE">
      <w:pPr>
        <w:spacing w:before="240"/>
        <w:rPr>
          <w:rFonts w:cs="Arial"/>
          <w:color w:val="002060"/>
          <w:szCs w:val="19"/>
        </w:rPr>
      </w:pPr>
      <w:r w:rsidRPr="005625E8">
        <w:rPr>
          <w:rFonts w:cs="Arial"/>
          <w:b/>
          <w:color w:val="002060"/>
          <w:szCs w:val="19"/>
        </w:rPr>
        <w:t>Uwagi metodyczne</w:t>
      </w:r>
    </w:p>
    <w:p w14:paraId="6EDB900D" w14:textId="77777777" w:rsidR="00D142E2" w:rsidRPr="00DD0DB1" w:rsidRDefault="00D142E2" w:rsidP="00D142E2">
      <w:pPr>
        <w:pStyle w:val="Akapitzlist"/>
        <w:numPr>
          <w:ilvl w:val="0"/>
          <w:numId w:val="3"/>
        </w:numPr>
        <w:spacing w:before="0"/>
        <w:contextualSpacing w:val="0"/>
        <w:rPr>
          <w:rFonts w:cs="Arial"/>
          <w:szCs w:val="19"/>
        </w:rPr>
      </w:pPr>
      <w:r w:rsidRPr="002432BE">
        <w:rPr>
          <w:rFonts w:cs="Arial"/>
          <w:szCs w:val="19"/>
        </w:rPr>
        <w:t xml:space="preserve">Informację opracowano na podstawie badania 1.30.11 Ruch graniczny, do którego dane </w:t>
      </w:r>
      <w:r>
        <w:rPr>
          <w:rFonts w:cs="Arial"/>
          <w:szCs w:val="19"/>
        </w:rPr>
        <w:t xml:space="preserve">dotyczące ruchu granicznego na zewnętrznej granicy Unii Europejskiej  na terenie Polski pochodzą </w:t>
      </w:r>
      <w:r w:rsidRPr="002432BE">
        <w:rPr>
          <w:rFonts w:cs="Arial"/>
          <w:szCs w:val="19"/>
        </w:rPr>
        <w:t>z Komendy Głównej Straży Granicznej. Dane obejmują wszystkie przejścia graniczne (drogowe, kolejowe i rzeczne).</w:t>
      </w:r>
      <w:r>
        <w:rPr>
          <w:rFonts w:cs="Arial"/>
          <w:szCs w:val="19"/>
        </w:rPr>
        <w:t xml:space="preserve"> </w:t>
      </w:r>
    </w:p>
    <w:p w14:paraId="78322600" w14:textId="77777777" w:rsidR="00D142E2" w:rsidRDefault="00D142E2" w:rsidP="00D142E2">
      <w:pPr>
        <w:pStyle w:val="Akapitzlist"/>
        <w:numPr>
          <w:ilvl w:val="0"/>
          <w:numId w:val="3"/>
        </w:numPr>
        <w:spacing w:before="0"/>
        <w:contextualSpacing w:val="0"/>
        <w:rPr>
          <w:rFonts w:cs="Arial"/>
          <w:szCs w:val="19"/>
        </w:rPr>
      </w:pPr>
      <w:r w:rsidRPr="002432BE">
        <w:rPr>
          <w:rFonts w:cs="Arial"/>
          <w:szCs w:val="19"/>
        </w:rPr>
        <w:t>Liczba przekroczeń granicy – osoba przekraczająca granicę kilkakrotnie liczona jest tyle razy, ile razy granicę tę przekracza.</w:t>
      </w:r>
    </w:p>
    <w:p w14:paraId="36E8C1C4" w14:textId="77777777" w:rsidR="00D142E2" w:rsidRDefault="00D142E2" w:rsidP="00D142E2">
      <w:pPr>
        <w:pStyle w:val="Akapitzlist"/>
        <w:numPr>
          <w:ilvl w:val="0"/>
          <w:numId w:val="3"/>
        </w:numPr>
        <w:spacing w:before="0"/>
        <w:contextualSpacing w:val="0"/>
        <w:rPr>
          <w:rFonts w:cs="Arial"/>
          <w:szCs w:val="19"/>
        </w:rPr>
      </w:pPr>
      <w:r>
        <w:rPr>
          <w:rFonts w:cs="Arial"/>
          <w:szCs w:val="19"/>
        </w:rPr>
        <w:t xml:space="preserve">Na podstawie Rozporządzenia Ministra Spraw Wewnętrznych i Administracji z dnia </w:t>
      </w:r>
      <w:r>
        <w:rPr>
          <w:rFonts w:cs="Arial"/>
          <w:szCs w:val="19"/>
        </w:rPr>
        <w:br/>
        <w:t>13 marca 2020 r. (Dz. U. 2020, poz. 435) ruch graniczny na przejściach z Rosją, Białorusią oraz Ukrainą z dniem 15 marca 2020 r. został  zawieszony lub ograniczony do odwołania.</w:t>
      </w:r>
    </w:p>
    <w:p w14:paraId="236AC13A" w14:textId="1709021C" w:rsidR="00D142E2" w:rsidRPr="00D142E2" w:rsidRDefault="00D142E2" w:rsidP="00177A67">
      <w:pPr>
        <w:pStyle w:val="Akapitzlist"/>
        <w:ind w:left="360"/>
        <w:rPr>
          <w:rFonts w:cs="Arial"/>
          <w:sz w:val="2"/>
          <w:szCs w:val="2"/>
        </w:rPr>
      </w:pPr>
    </w:p>
    <w:p w14:paraId="4AFC52FB" w14:textId="77777777" w:rsidR="00F37807" w:rsidRPr="00F37807" w:rsidRDefault="00F37807" w:rsidP="00F37807">
      <w:pPr>
        <w:spacing w:before="0"/>
        <w:rPr>
          <w:rFonts w:cs="Arial"/>
          <w:szCs w:val="19"/>
        </w:rPr>
        <w:sectPr w:rsidR="00F37807" w:rsidRPr="00F37807" w:rsidSect="00782DDB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14:paraId="616DCA5A" w14:textId="77777777" w:rsidR="00177A67" w:rsidRDefault="00177A67" w:rsidP="00177A67"/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1"/>
        <w:gridCol w:w="3826"/>
      </w:tblGrid>
      <w:tr w:rsidR="00A13E16" w:rsidRPr="00BC36BE" w14:paraId="1F93F78A" w14:textId="77777777" w:rsidTr="00A819D9">
        <w:trPr>
          <w:trHeight w:val="1474"/>
        </w:trPr>
        <w:tc>
          <w:tcPr>
            <w:tcW w:w="4241" w:type="dxa"/>
          </w:tcPr>
          <w:p w14:paraId="2EA6D4D9" w14:textId="77777777" w:rsidR="00A13E16" w:rsidRPr="004E7E59" w:rsidRDefault="00A13E16" w:rsidP="00A819D9">
            <w:pPr>
              <w:spacing w:before="0" w:after="0" w:line="280" w:lineRule="exact"/>
              <w:rPr>
                <w:rFonts w:cs="Arial"/>
                <w:sz w:val="20"/>
              </w:rPr>
            </w:pPr>
            <w:r w:rsidRPr="004E7E59">
              <w:rPr>
                <w:rFonts w:cs="Arial"/>
                <w:sz w:val="20"/>
              </w:rPr>
              <w:t>Opracowanie merytoryczne</w:t>
            </w:r>
          </w:p>
          <w:p w14:paraId="51405DA6" w14:textId="77777777" w:rsidR="00A13E16" w:rsidRPr="004E7E59" w:rsidRDefault="00A13E16" w:rsidP="00A819D9">
            <w:pPr>
              <w:spacing w:before="0" w:after="0" w:line="280" w:lineRule="exact"/>
              <w:rPr>
                <w:rFonts w:cs="Arial"/>
                <w:b/>
                <w:sz w:val="20"/>
              </w:rPr>
            </w:pPr>
            <w:r w:rsidRPr="004E7E59">
              <w:rPr>
                <w:rFonts w:cs="Arial"/>
                <w:b/>
                <w:sz w:val="20"/>
              </w:rPr>
              <w:t>Urząd Statystyczny w Rzeszowie</w:t>
            </w:r>
          </w:p>
          <w:p w14:paraId="2D559AD3" w14:textId="77777777" w:rsidR="00A13E16" w:rsidRPr="004E7E59" w:rsidRDefault="00A13E16" w:rsidP="00A819D9">
            <w:pPr>
              <w:spacing w:before="0" w:after="0" w:line="280" w:lineRule="exact"/>
              <w:rPr>
                <w:rFonts w:cs="Arial"/>
                <w:b/>
                <w:sz w:val="20"/>
              </w:rPr>
            </w:pPr>
            <w:r w:rsidRPr="004E7E59">
              <w:rPr>
                <w:rFonts w:cs="Arial"/>
                <w:b/>
                <w:sz w:val="20"/>
              </w:rPr>
              <w:t>Dyrektor Marek Cierpiał-Wolan</w:t>
            </w:r>
          </w:p>
          <w:p w14:paraId="48214B3F" w14:textId="1E2F2EF7" w:rsidR="00A13E16" w:rsidRDefault="00A13E16" w:rsidP="00A819D9">
            <w:pPr>
              <w:spacing w:before="0" w:after="0" w:line="280" w:lineRule="exact"/>
              <w:rPr>
                <w:rFonts w:cs="Arial"/>
                <w:color w:val="000000" w:themeColor="text1"/>
                <w:sz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lang w:val="en-GB"/>
              </w:rPr>
              <w:t>T</w:t>
            </w:r>
            <w:r w:rsidR="007E5CAD">
              <w:rPr>
                <w:rFonts w:cs="Arial"/>
                <w:color w:val="000000" w:themeColor="text1"/>
                <w:sz w:val="20"/>
                <w:lang w:val="en-GB"/>
              </w:rPr>
              <w:t>el</w:t>
            </w:r>
            <w:bookmarkStart w:id="0" w:name="_GoBack"/>
            <w:bookmarkEnd w:id="0"/>
            <w:r w:rsidRPr="00724818">
              <w:rPr>
                <w:rFonts w:cs="Arial"/>
                <w:color w:val="000000" w:themeColor="text1"/>
                <w:sz w:val="20"/>
                <w:lang w:val="en-GB"/>
              </w:rPr>
              <w:t xml:space="preserve">: </w:t>
            </w:r>
            <w:r w:rsidR="00C01737">
              <w:rPr>
                <w:rFonts w:cs="Arial"/>
                <w:color w:val="000000" w:themeColor="text1"/>
                <w:sz w:val="20"/>
                <w:lang w:val="en-GB"/>
              </w:rPr>
              <w:t>17 853 52 10</w:t>
            </w:r>
          </w:p>
          <w:p w14:paraId="40508B60" w14:textId="77777777" w:rsidR="00A13E16" w:rsidRPr="004E7E59" w:rsidRDefault="00A13E16" w:rsidP="00A819D9">
            <w:pPr>
              <w:spacing w:before="0" w:after="0" w:line="280" w:lineRule="exact"/>
            </w:pPr>
          </w:p>
        </w:tc>
        <w:tc>
          <w:tcPr>
            <w:tcW w:w="3826" w:type="dxa"/>
          </w:tcPr>
          <w:p w14:paraId="6CFFB365" w14:textId="77777777" w:rsidR="00A13E16" w:rsidRPr="007E5CAD" w:rsidRDefault="00A13E16" w:rsidP="00A819D9">
            <w:pPr>
              <w:spacing w:before="0" w:after="0" w:line="280" w:lineRule="exact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sz w:val="20"/>
              </w:rPr>
              <w:t>Rozpowszechnianie</w:t>
            </w:r>
            <w:r w:rsidRPr="004E7E59">
              <w:rPr>
                <w:rFonts w:cs="Arial"/>
                <w:sz w:val="20"/>
              </w:rPr>
              <w:t xml:space="preserve"> </w:t>
            </w:r>
            <w:r w:rsidRPr="004E7E59">
              <w:rPr>
                <w:rFonts w:cs="Arial"/>
                <w:sz w:val="20"/>
              </w:rPr>
              <w:br/>
            </w:r>
            <w:r w:rsidRPr="007E5CAD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28921B82" w14:textId="77777777" w:rsidR="00A13E16" w:rsidRPr="007E5CAD" w:rsidRDefault="00A13E16" w:rsidP="00A819D9">
            <w:pPr>
              <w:pStyle w:val="Nagwek3"/>
              <w:spacing w:before="0" w:line="280" w:lineRule="exact"/>
              <w:rPr>
                <w:rFonts w:cs="Arial"/>
                <w:b/>
                <w:color w:val="000000" w:themeColor="text1"/>
                <w:sz w:val="20"/>
              </w:rPr>
            </w:pPr>
            <w:r w:rsidRPr="007E5CAD">
              <w:rPr>
                <w:rFonts w:cs="Arial"/>
                <w:b/>
                <w:color w:val="000000" w:themeColor="text1"/>
                <w:sz w:val="20"/>
              </w:rPr>
              <w:t>Karolina Banaszek</w:t>
            </w:r>
          </w:p>
          <w:p w14:paraId="083620C6" w14:textId="77777777" w:rsidR="00A13E16" w:rsidRPr="004E7E59" w:rsidRDefault="00A13E16" w:rsidP="00A819D9">
            <w:pPr>
              <w:pStyle w:val="Nagwek3"/>
              <w:spacing w:before="0" w:line="280" w:lineRule="exact"/>
              <w:rPr>
                <w:rFonts w:ascii="Fira Sans" w:hAnsi="Fira Sans" w:cs="Arial"/>
                <w:color w:val="auto"/>
                <w:sz w:val="20"/>
                <w:szCs w:val="20"/>
                <w:lang w:val="en-US"/>
              </w:rPr>
            </w:pPr>
            <w:r w:rsidRPr="00724818">
              <w:rPr>
                <w:rFonts w:ascii="Fira Sans" w:hAnsi="Fira Sans" w:cs="Arial"/>
                <w:color w:val="auto"/>
                <w:sz w:val="20"/>
                <w:szCs w:val="20"/>
                <w:lang w:val="en-US"/>
              </w:rPr>
              <w:t>Tel: 695 255 011</w:t>
            </w:r>
          </w:p>
        </w:tc>
      </w:tr>
    </w:tbl>
    <w:p w14:paraId="4CDA5ABD" w14:textId="77777777" w:rsidR="00A13E16" w:rsidRDefault="00A13E16" w:rsidP="00177A67"/>
    <w:p w14:paraId="0A47F90E" w14:textId="77777777" w:rsidR="005B4B2E" w:rsidRDefault="005B4B2E" w:rsidP="00177A67"/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5B4B2E" w14:paraId="44A5EC9E" w14:textId="77777777" w:rsidTr="00A819D9">
        <w:trPr>
          <w:trHeight w:val="610"/>
        </w:trPr>
        <w:tc>
          <w:tcPr>
            <w:tcW w:w="2721" w:type="pct"/>
            <w:vMerge w:val="restart"/>
          </w:tcPr>
          <w:p w14:paraId="39F81E76" w14:textId="77777777" w:rsidR="005B4B2E" w:rsidRPr="00C91687" w:rsidRDefault="005B4B2E" w:rsidP="00A819D9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7EB5608B" w14:textId="77777777" w:rsidR="005B4B2E" w:rsidRPr="00C91687" w:rsidRDefault="005B4B2E" w:rsidP="00A819D9">
            <w:pPr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>
              <w:rPr>
                <w:sz w:val="20"/>
              </w:rPr>
              <w:t>el</w:t>
            </w:r>
            <w:r w:rsidRPr="00674DE5">
              <w:rPr>
                <w:sz w:val="20"/>
              </w:rPr>
              <w:t xml:space="preserve">: </w:t>
            </w:r>
            <w:r>
              <w:rPr>
                <w:sz w:val="20"/>
              </w:rPr>
              <w:t>22 608 34 91, 22</w:t>
            </w:r>
            <w:r w:rsidRPr="00C91687">
              <w:rPr>
                <w:sz w:val="20"/>
              </w:rPr>
              <w:t xml:space="preserve"> 608 38 04 </w:t>
            </w:r>
          </w:p>
          <w:p w14:paraId="0F459FDF" w14:textId="77777777" w:rsidR="005B4B2E" w:rsidRPr="007E5CAD" w:rsidRDefault="005B4B2E" w:rsidP="00A819D9">
            <w:pPr>
              <w:rPr>
                <w:sz w:val="18"/>
                <w:lang w:val="en-US"/>
              </w:rPr>
            </w:pPr>
            <w:r w:rsidRPr="007E5CAD">
              <w:rPr>
                <w:b/>
                <w:sz w:val="20"/>
                <w:lang w:val="en-US"/>
              </w:rPr>
              <w:t>e-mail:</w:t>
            </w:r>
            <w:r w:rsidRPr="007E5CAD">
              <w:rPr>
                <w:sz w:val="20"/>
                <w:lang w:val="en-US"/>
              </w:rPr>
              <w:t xml:space="preserve"> </w:t>
            </w:r>
            <w:r w:rsidR="00AF5680">
              <w:rPr>
                <w:rStyle w:val="Hipercze"/>
                <w:rFonts w:eastAsiaTheme="majorEastAsia" w:cs="Arial"/>
                <w:b/>
                <w:color w:val="auto"/>
                <w:sz w:val="20"/>
                <w:szCs w:val="20"/>
                <w:lang w:val="en-US"/>
              </w:rPr>
              <w:fldChar w:fldCharType="begin"/>
            </w:r>
            <w:r w:rsidR="00AF5680">
              <w:rPr>
                <w:rStyle w:val="Hipercze"/>
                <w:rFonts w:eastAsiaTheme="majorEastAsia" w:cs="Arial"/>
                <w:b/>
                <w:color w:val="auto"/>
                <w:sz w:val="20"/>
                <w:szCs w:val="20"/>
                <w:lang w:val="en-US"/>
              </w:rPr>
              <w:instrText xml:space="preserve"> HYPERLINK "mailto:obslugaprasowa@stat.gov.pl" </w:instrText>
            </w:r>
            <w:r w:rsidR="00AF5680">
              <w:rPr>
                <w:rStyle w:val="Hipercze"/>
                <w:rFonts w:eastAsiaTheme="majorEastAsia" w:cs="Arial"/>
                <w:b/>
                <w:color w:val="auto"/>
                <w:sz w:val="20"/>
                <w:szCs w:val="20"/>
                <w:lang w:val="en-US"/>
              </w:rPr>
              <w:fldChar w:fldCharType="separate"/>
            </w:r>
            <w:r w:rsidRPr="00394E26">
              <w:rPr>
                <w:rStyle w:val="Hipercze"/>
                <w:rFonts w:eastAsiaTheme="majorEastAsia" w:cs="Arial"/>
                <w:b/>
                <w:color w:val="auto"/>
                <w:sz w:val="20"/>
                <w:szCs w:val="20"/>
                <w:lang w:val="en-US"/>
              </w:rPr>
              <w:t>obslugaprasowa@stat.gov.pl</w:t>
            </w:r>
            <w:r w:rsidR="00AF5680">
              <w:rPr>
                <w:rStyle w:val="Hipercze"/>
                <w:rFonts w:eastAsiaTheme="majorEastAsia" w:cs="Arial"/>
                <w:b/>
                <w:color w:val="auto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69" w:type="pct"/>
            <w:vAlign w:val="center"/>
          </w:tcPr>
          <w:p w14:paraId="7D12ECB9" w14:textId="77777777" w:rsidR="005B4B2E" w:rsidRPr="007E5CAD" w:rsidRDefault="005B4B2E" w:rsidP="00A819D9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94080" behindDoc="0" locked="0" layoutInCell="1" allowOverlap="1" wp14:anchorId="5337DE60" wp14:editId="215AEFD4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5A1076AF" w14:textId="77777777" w:rsidR="005B4B2E" w:rsidRDefault="005B4B2E" w:rsidP="00A819D9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5B4B2E" w14:paraId="19FA34A0" w14:textId="77777777" w:rsidTr="00A819D9">
        <w:trPr>
          <w:trHeight w:val="436"/>
        </w:trPr>
        <w:tc>
          <w:tcPr>
            <w:tcW w:w="2721" w:type="pct"/>
            <w:vMerge/>
            <w:vAlign w:val="center"/>
          </w:tcPr>
          <w:p w14:paraId="2C734975" w14:textId="77777777" w:rsidR="005B4B2E" w:rsidRDefault="005B4B2E" w:rsidP="00A819D9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5DD5E219" w14:textId="77777777" w:rsidR="005B4B2E" w:rsidRDefault="005B4B2E" w:rsidP="00A819D9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96128" behindDoc="0" locked="0" layoutInCell="1" allowOverlap="1" wp14:anchorId="38AF6185" wp14:editId="3B3D0C6D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714FB5B1" w14:textId="77777777" w:rsidR="005B4B2E" w:rsidRDefault="005B4B2E" w:rsidP="00A819D9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5B4B2E" w14:paraId="4E05E53B" w14:textId="77777777" w:rsidTr="00A819D9">
        <w:trPr>
          <w:trHeight w:val="436"/>
        </w:trPr>
        <w:tc>
          <w:tcPr>
            <w:tcW w:w="2721" w:type="pct"/>
            <w:vMerge/>
            <w:vAlign w:val="center"/>
          </w:tcPr>
          <w:p w14:paraId="2EC19234" w14:textId="77777777" w:rsidR="005B4B2E" w:rsidRDefault="005B4B2E" w:rsidP="00A819D9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53129195" w14:textId="77777777" w:rsidR="005B4B2E" w:rsidRDefault="005B4B2E" w:rsidP="00A819D9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95104" behindDoc="0" locked="0" layoutInCell="1" allowOverlap="1" wp14:anchorId="301274A9" wp14:editId="4F1240AC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0A67DFEB" w14:textId="77777777" w:rsidR="005B4B2E" w:rsidRDefault="005B4B2E" w:rsidP="00A819D9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14:paraId="7B920CD6" w14:textId="3691C50E" w:rsidR="00D261A2" w:rsidRDefault="00D261A2" w:rsidP="00F37807">
      <w:pPr>
        <w:rPr>
          <w:color w:val="FF0000"/>
          <w:sz w:val="18"/>
        </w:rPr>
      </w:pPr>
    </w:p>
    <w:p w14:paraId="4FA2ACAF" w14:textId="0739E363" w:rsidR="00177A67" w:rsidRPr="008749AC" w:rsidRDefault="00177A67" w:rsidP="00F37807">
      <w:pPr>
        <w:rPr>
          <w:color w:val="FF0000"/>
          <w:sz w:val="18"/>
        </w:rPr>
      </w:pPr>
      <w:r w:rsidRPr="008749AC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2D4FF3E" wp14:editId="6864E0CF">
                <wp:simplePos x="0" y="0"/>
                <wp:positionH relativeFrom="margin">
                  <wp:posOffset>0</wp:posOffset>
                </wp:positionH>
                <wp:positionV relativeFrom="paragraph">
                  <wp:posOffset>271145</wp:posOffset>
                </wp:positionV>
                <wp:extent cx="6559200" cy="2178685"/>
                <wp:effectExtent l="0" t="0" r="13335" b="1206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200" cy="2178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48D21" w14:textId="77777777" w:rsidR="00177A67" w:rsidRDefault="00177A67" w:rsidP="00177A67">
                            <w:pPr>
                              <w:rPr>
                                <w:b/>
                              </w:rPr>
                            </w:pPr>
                          </w:p>
                          <w:p w14:paraId="6B66D16D" w14:textId="77777777" w:rsidR="00177A67" w:rsidRPr="005B1FE8" w:rsidRDefault="00177A67" w:rsidP="00177A67">
                            <w:pPr>
                              <w:rPr>
                                <w:b/>
                              </w:rPr>
                            </w:pPr>
                            <w:r w:rsidRPr="005B1FE8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627D2367" w14:textId="77777777" w:rsidR="00177A67" w:rsidRPr="00FF300E" w:rsidRDefault="00AF5680" w:rsidP="00177A6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1" w:history="1">
                              <w:r w:rsidR="00177A67" w:rsidRPr="00FF300E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Turystyka</w:t>
                              </w:r>
                            </w:hyperlink>
                          </w:p>
                          <w:p w14:paraId="75C41A54" w14:textId="77777777" w:rsidR="00177A67" w:rsidRPr="00FF300E" w:rsidRDefault="00AF5680" w:rsidP="00177A6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2" w:history="1">
                              <w:r w:rsidR="00177A67" w:rsidRPr="00FF300E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Ruch graniczny oraz wydatki cudzoziemców w Polsce i Polaków za granicą</w:t>
                              </w:r>
                            </w:hyperlink>
                          </w:p>
                          <w:p w14:paraId="7F3308A4" w14:textId="77777777" w:rsidR="00177A67" w:rsidRPr="005B1FE8" w:rsidRDefault="00177A67" w:rsidP="00177A67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63DF6CCB" w14:textId="77777777" w:rsidR="00177A67" w:rsidRDefault="00177A67" w:rsidP="00177A67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0D5D9346" w14:textId="77777777" w:rsidR="00177A67" w:rsidRPr="0072786C" w:rsidRDefault="00AF5680" w:rsidP="00177A6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177A67" w:rsidRPr="0072786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Ruch graniczny</w:t>
                              </w:r>
                            </w:hyperlink>
                          </w:p>
                          <w:p w14:paraId="59E78AA4" w14:textId="77777777" w:rsidR="00177A67" w:rsidRDefault="00AF5680" w:rsidP="00177A6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177A67" w:rsidRPr="0072786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Cudzoziemcy</w:t>
                              </w:r>
                            </w:hyperlink>
                          </w:p>
                          <w:p w14:paraId="22BEA7D9" w14:textId="77777777" w:rsidR="00177A67" w:rsidRPr="0072786C" w:rsidRDefault="00177A67" w:rsidP="00177A6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4FF3E" id="_x0000_s1028" type="#_x0000_t202" style="position:absolute;margin-left:0;margin-top:21.35pt;width:516.45pt;height:171.5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4YPQIAAHMEAAAOAAAAZHJzL2Uyb0RvYy54bWysVFFv0zAQfkfiP1h+p2lL07VR02l0DCEN&#10;mDT4AVfHaazZvmC7Tcqv39npSoEHJMRL5POdv7v7vrusrnuj2UE6r9CWfDIacyatwErZXcm/fb17&#10;s+DMB7AVaLSy5Efp+fX69atV1xZyig3qSjpGINYXXVvyJoS2yDIvGmnAj7CVlpw1OgOBTLfLKgcd&#10;oRudTcfjedahq1qHQnpPt7eDk68Tfl1LEb7UtZeB6ZJTbSF9Xfpu4zdbr6DYOWgbJU5lwD9UYUBZ&#10;SnqGuoUAbO/UH1BGCYce6zASaDKsayVk6oG6mYx/6+axgVamXogc355p8v8PVnw+PDimqpK/5cyC&#10;IYkeUEsW5JMP2Ek2jRR1rS8o8rGl2NC/w56kTu369h7Fk2cWNw3YnbxxDrtGQkUlTuLL7OLpgOMj&#10;yLb7hBXlgn3ABNTXzkT+iBFG6CTV8SyP7AMTdDnP8yVpzpkg33RytZgv8pQDipfnrfPhg0TD4qHk&#10;jvRP8HC49yGWA8VLSMzmUavqTmmdjDhzcqMdOwBNy3Y3tKj3hmod7pb5mPIPOGlEY3hC/QVJW9aV&#10;fJlP84Gkv2Q54V1GGRVoLbQyJV9QyiEpFJHZ97aiB1AEUHo4U1PanqiO7A48h37bJ2HPCm6xOhL3&#10;DoctoK2lQ4PuB2cdbUDJ/fc9OMmZ/mhJv+VkNosrk4xZfjUlw116tpcesIKgSh44G46bkNYslmrx&#10;hnSuVVIgDsRQyalkmuxE4WkL4+pc2inq579i/QwAAP//AwBQSwMEFAAGAAgAAAAhADjs5VPfAAAA&#10;CAEAAA8AAABkcnMvZG93bnJldi54bWxMj81OwzAQhO9IvIO1SFwQdUhp/simQkgV3KqWCq5uvCSh&#10;8TqK3Ta8Pe4JjqMZzXxTLifTixONrrOM8DCLQBDXVnfcIOzeV/cZCOcVa9VbJoQfcrCsrq9KVWh7&#10;5g2dtr4RoYRdoRBa74dCSle3ZJSb2YE4eF92NMoHOTZSj+ocyk0v4yhKpFEdh4VWDfTSUn3YHg3C&#10;a54uVm/xLl0fku9E53ebj+Fzg3h7Mz0/gfA0+b8wXPADOlSBaW+PrJ3oEcIRj/AYpyAubjSPcxB7&#10;hHm2yEBWpfx/oPoFAAD//wMAUEsBAi0AFAAGAAgAAAAhALaDOJL+AAAA4QEAABMAAAAAAAAAAAAA&#10;AAAAAAAAAFtDb250ZW50X1R5cGVzXS54bWxQSwECLQAUAAYACAAAACEAOP0h/9YAAACUAQAACwAA&#10;AAAAAAAAAAAAAAAvAQAAX3JlbHMvLnJlbHNQSwECLQAUAAYACAAAACEAyxCuGD0CAABzBAAADgAA&#10;AAAAAAAAAAAAAAAuAgAAZHJzL2Uyb0RvYy54bWxQSwECLQAUAAYACAAAACEAOOzlU98AAAAIAQAA&#10;DwAAAAAAAAAAAAAAAACXBAAAZHJzL2Rvd25yZXYueG1sUEsFBgAAAAAEAAQA8wAAAKMFAAAAAA==&#10;" fillcolor="#f2f2f2 [3052]" strokecolor="white [3212]">
                <v:textbox>
                  <w:txbxContent>
                    <w:p w14:paraId="0CC48D21" w14:textId="77777777" w:rsidR="00177A67" w:rsidRDefault="00177A67" w:rsidP="00177A67">
                      <w:pPr>
                        <w:rPr>
                          <w:b/>
                        </w:rPr>
                      </w:pPr>
                    </w:p>
                    <w:p w14:paraId="6B66D16D" w14:textId="77777777" w:rsidR="00177A67" w:rsidRPr="005B1FE8" w:rsidRDefault="00177A67" w:rsidP="00177A67">
                      <w:pPr>
                        <w:rPr>
                          <w:b/>
                        </w:rPr>
                      </w:pPr>
                      <w:r w:rsidRPr="005B1FE8">
                        <w:rPr>
                          <w:b/>
                        </w:rPr>
                        <w:t>Powiązane opracowania</w:t>
                      </w:r>
                    </w:p>
                    <w:p w14:paraId="627D2367" w14:textId="77777777" w:rsidR="00177A67" w:rsidRPr="00FF300E" w:rsidRDefault="00177A67" w:rsidP="00177A6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6" w:history="1">
                        <w:r w:rsidRPr="00FF300E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Turystyka</w:t>
                        </w:r>
                      </w:hyperlink>
                    </w:p>
                    <w:p w14:paraId="75C41A54" w14:textId="77777777" w:rsidR="00177A67" w:rsidRPr="00FF300E" w:rsidRDefault="00177A67" w:rsidP="00177A6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7" w:history="1">
                        <w:r w:rsidRPr="00FF300E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Ruch graniczny oraz wydatki cudzoziemców w Polsce i Polaków za granicą</w:t>
                        </w:r>
                      </w:hyperlink>
                    </w:p>
                    <w:p w14:paraId="7F3308A4" w14:textId="77777777" w:rsidR="00177A67" w:rsidRPr="005B1FE8" w:rsidRDefault="00177A67" w:rsidP="00177A67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63DF6CCB" w14:textId="77777777" w:rsidR="00177A67" w:rsidRDefault="00177A67" w:rsidP="00177A67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0D5D9346" w14:textId="77777777" w:rsidR="00177A67" w:rsidRPr="0072786C" w:rsidRDefault="00177A67" w:rsidP="00177A6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8" w:history="1">
                        <w:r w:rsidRPr="0072786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Ruch graniczny</w:t>
                        </w:r>
                      </w:hyperlink>
                    </w:p>
                    <w:p w14:paraId="59E78AA4" w14:textId="77777777" w:rsidR="00177A67" w:rsidRDefault="00177A67" w:rsidP="00177A6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9" w:history="1">
                        <w:r w:rsidRPr="0072786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Cudzoziemcy</w:t>
                        </w:r>
                      </w:hyperlink>
                    </w:p>
                    <w:p w14:paraId="22BEA7D9" w14:textId="77777777" w:rsidR="00177A67" w:rsidRPr="0072786C" w:rsidRDefault="00177A67" w:rsidP="00177A6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77A67" w:rsidRPr="008749AC" w:rsidSect="003B18B6">
      <w:headerReference w:type="default" r:id="rId30"/>
      <w:footerReference w:type="default" r:id="rId31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A44D7" w14:textId="77777777" w:rsidR="00AF5680" w:rsidRDefault="00AF5680" w:rsidP="000662E2">
      <w:pPr>
        <w:spacing w:after="0" w:line="240" w:lineRule="auto"/>
      </w:pPr>
      <w:r>
        <w:separator/>
      </w:r>
    </w:p>
  </w:endnote>
  <w:endnote w:type="continuationSeparator" w:id="0">
    <w:p w14:paraId="3275ED2B" w14:textId="77777777" w:rsidR="00AF5680" w:rsidRDefault="00AF5680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8371993"/>
      <w:docPartObj>
        <w:docPartGallery w:val="Page Numbers (Bottom of Page)"/>
        <w:docPartUnique/>
      </w:docPartObj>
    </w:sdtPr>
    <w:sdtEndPr/>
    <w:sdtContent>
      <w:p w14:paraId="7B920CEF" w14:textId="77777777"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CAD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3573888"/>
      <w:docPartObj>
        <w:docPartGallery w:val="Page Numbers (Bottom of Page)"/>
        <w:docPartUnique/>
      </w:docPartObj>
    </w:sdtPr>
    <w:sdtEndPr/>
    <w:sdtContent>
      <w:p w14:paraId="7B920CF2" w14:textId="70EAAC2B"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CAD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7B920CF5" w14:textId="77777777" w:rsidR="003B18B6" w:rsidRDefault="003B18B6" w:rsidP="00B11874">
        <w:pPr>
          <w:pStyle w:val="Stopka"/>
          <w:tabs>
            <w:tab w:val="clear" w:pos="9072"/>
          </w:tabs>
          <w:ind w:right="-242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CAD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01423" w14:textId="77777777" w:rsidR="00AF5680" w:rsidRDefault="00AF5680" w:rsidP="000662E2">
      <w:pPr>
        <w:spacing w:after="0" w:line="240" w:lineRule="auto"/>
      </w:pPr>
      <w:r>
        <w:separator/>
      </w:r>
    </w:p>
  </w:footnote>
  <w:footnote w:type="continuationSeparator" w:id="0">
    <w:p w14:paraId="6A21A766" w14:textId="77777777" w:rsidR="00AF5680" w:rsidRDefault="00AF5680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20CED" w14:textId="77777777"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B920CF6" wp14:editId="4F2AB566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83B1B4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7B920CEE" w14:textId="77777777"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20CF1" w14:textId="325239F7" w:rsidR="00F32749" w:rsidRDefault="00AD4DCA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14B98432" wp14:editId="4465BD30">
              <wp:simplePos x="0" y="0"/>
              <wp:positionH relativeFrom="column">
                <wp:posOffset>5375275</wp:posOffset>
              </wp:positionH>
              <wp:positionV relativeFrom="paragraph">
                <wp:posOffset>930910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76E8F5" w14:textId="3FC4E8AF" w:rsidR="0075571D" w:rsidRPr="00C97596" w:rsidRDefault="0075571D" w:rsidP="0075571D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DF43D0">
                            <w:rPr>
                              <w:rFonts w:ascii="Fira Sans SemiBold" w:hAnsi="Fira Sans SemiBold"/>
                              <w:color w:val="001D77"/>
                            </w:rPr>
                            <w:t>8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.04.2020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B9843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23.25pt;margin-top:73.3pt;width:112.8pt;height:26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wCeDgIAAPcDAAAOAAAAZHJzL2Uyb0RvYy54bWysU8Fu2zAMvQ/YPwi6L06cpGuMOEXXrsOA&#10;bivQ7QMYWY6FSqImKbG7rx8lp2mw3Yb5IIgm+cj3SK2vBqPZQfqg0NZ8NplyJq3ARtldzX98v3t3&#10;yVmIYBvQaGXNn2XgV5u3b9a9q2SJHepGekYgNlS9q3kXo6uKIohOGggTdNKSs0VvIJLpd0XjoSd0&#10;o4tyOr0oevSN8yhkCPT3dnTyTcZvWynit7YNMjJdc+ot5tPnc5vOYrOGaufBdUoc24B/6MKAslT0&#10;BHULEdjeq7+gjBIeA7ZxItAU2LZKyMyB2Mymf7B57MDJzIXECe4kU/h/sOLr4cEz1dScBmXB0Ige&#10;UEsW5VOI2EtWJol6FyqKfHQUG4cPONCoM93g7lE8BWbxpgO7k9feY99JaKjFWcoszlJHnJBAtv0X&#10;bKgW7CNmoKH1JulHijBCp1E9n8Yjh8hEKrmYl+Vqzpkg33x+sbxc5RJQvWQ7H+IniYalS809jT+j&#10;w+E+xNQNVC8hqZjFO6V1XgFtWV/z1bJc5oQzj1GRNlQrQxJN0zfuTCL50TY5OYLS450KaHtknYiO&#10;lOOwHSgwSbHF5pn4exw3kV4OXTr0vzjraQtrHn7uwUvO9GdLGq5mi0Va22wslu9LMvy5Z3vuASsI&#10;quaRs/F6E/Oqj1yvSetWZRleOzn2StuV1Tm+hLS+53aOen2vm98AAAD//wMAUEsDBBQABgAIAAAA&#10;IQAqYQFB3wAAAAwBAAAPAAAAZHJzL2Rvd25yZXYueG1sTI9NT8MwDIbvSPyHyEjcWLKpC2tpOiEQ&#10;VxDjQ+KWNV5b0ThVk63l3+Od4GbrffT6cbmdfS9OOMYukIHlQoFAqoPrqDHw/vZ0swERkyVn+0Bo&#10;4AcjbKvLi9IWLkz0iqddagSXUCysgTaloZAy1i16GxdhQOLsEEZvE69jI91oJy73vVwppaW3HfGF&#10;1g740GL9vTt6Ax/Ph6/PTL00j349TGFWknwujbm+mu/vQCSc0x8MZ31Wh4qd9uFILorewCbTa0Y5&#10;yLQGcSbU7WoJYs9TnmuQVSn/P1H9AgAA//8DAFBLAQItABQABgAIAAAAIQC2gziS/gAAAOEBAAAT&#10;AAAAAAAAAAAAAAAAAAAAAABbQ29udGVudF9UeXBlc10ueG1sUEsBAi0AFAAGAAgAAAAhADj9If/W&#10;AAAAlAEAAAsAAAAAAAAAAAAAAAAALwEAAF9yZWxzLy5yZWxzUEsBAi0AFAAGAAgAAAAhAPHXAJ4O&#10;AgAA9wMAAA4AAAAAAAAAAAAAAAAALgIAAGRycy9lMm9Eb2MueG1sUEsBAi0AFAAGAAgAAAAhACph&#10;AUHfAAAADAEAAA8AAAAAAAAAAAAAAAAAaAQAAGRycy9kb3ducmV2LnhtbFBLBQYAAAAABAAEAPMA&#10;AAB0BQAAAAA=&#10;" filled="f" stroked="f">
              <v:textbox>
                <w:txbxContent>
                  <w:p w14:paraId="4676E8F5" w14:textId="3FC4E8AF" w:rsidR="0075571D" w:rsidRPr="00C97596" w:rsidRDefault="0075571D" w:rsidP="0075571D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DF43D0">
                      <w:rPr>
                        <w:rFonts w:ascii="Fira Sans SemiBold" w:hAnsi="Fira Sans SemiBold"/>
                        <w:color w:val="001D77"/>
                      </w:rPr>
                      <w:t>8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.04.2020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  <w:r w:rsidR="00AF5680">
      <w:rPr>
        <w:noProof/>
        <w:lang w:eastAsia="pl-PL"/>
      </w:rPr>
      <w:pict w14:anchorId="11C314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102.05pt;height:56.7pt;z-index:251671552;mso-position-horizontal-relative:text;mso-position-vertical-relative:text">
          <v:imagedata r:id="rId1" o:title="Logo%20GUS%20wersja%20podstawowa%20wariant%20kolorowy"/>
          <w10:wrap type="topAndBottom"/>
        </v:shape>
      </w:pict>
    </w:r>
    <w:r w:rsidR="00AE2D4B"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920CF8" wp14:editId="3DB82847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920D17" w14:textId="77777777"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920CF8" id="Schemat blokowy: opóźnienie 6" o:spid="_x0000_s1030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TvOwYAABE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VNERSUpv1nR9Q2QFxnVrE7e&#10;ZK8LxsWblIv3KQMKIIADqKniHXzkJYW7Ee46tfLQhrLPd30v5YFdCbse2gItdOnx365SRjxU/lgD&#10;7zLBU2ATIqEuplEcwAUzd1bmTn1VvaQAEBirEJ1aSnlRdsuc0eojMFjPpVfYSusMfMP4FjBY9MVL&#10;AdewBRzYjJyfqzVwRwGlb+qLJutolg1k/mH3MWUNksulJ4Bk+ZZ2FNIDexJQfZCVHarp+ZWgeSGp&#10;lQqZuq7tBfBOFZRajqwktprXSurA5D37GwAA//8DAFBLAwQUAAYACAAAACEAME8M9d4AAAAKAQAA&#10;DwAAAGRycy9kb3ducmV2LnhtbEyPwW7CMBBE75X6D9ZW6q04IRKhaTYIIbUnVKmE3k28TQL2OooN&#10;hL+vObXH1TzNvC1XkzXiQqPvHSOkswQEceN0zy3Cvn5/WYLwQbFWxjEh3MjDqnp8KFWh3ZW/6LIL&#10;rYgl7AuF0IUwFFL6piOr/MwNxDH7caNVIZ5jK/WorrHcGjlPkoW0que40KmBNh01p93ZIhizGcY6&#10;fNw+62a93Sf1NnwfPeLz07R+AxFoCn8w3PWjOlTR6eDOrL0wCPlrNo8oQpZmIO5AmuY5iAPCMl+A&#10;rEr5/4XqFwAA//8DAFBLAQItABQABgAIAAAAIQC2gziS/gAAAOEBAAATAAAAAAAAAAAAAAAAAAAA&#10;AABbQ29udGVudF9UeXBlc10ueG1sUEsBAi0AFAAGAAgAAAAhADj9If/WAAAAlAEAAAsAAAAAAAAA&#10;AAAAAAAALwEAAF9yZWxzLy5yZWxzUEsBAi0AFAAGAAgAAAAhAGICRO87BgAAESwAAA4AAAAAAAAA&#10;AAAAAAAALgIAAGRycy9lMm9Eb2MueG1sUEsBAi0AFAAGAAgAAAAhADBPDPXeAAAACgEAAA8AAAAA&#10;AAAAAAAAAAAAlQgAAGRycy9kb3ducmV2LnhtbFBLBQYAAAAABAAEAPMAAACg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7B920D17" w14:textId="77777777"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B920CFA" wp14:editId="031F3AD3">
              <wp:simplePos x="0" y="0"/>
              <wp:positionH relativeFrom="page">
                <wp:align>right</wp:align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A05FB1" w14:textId="7986D92D" w:rsidR="0045140F" w:rsidRDefault="0045140F" w:rsidP="0045140F">
                          <w:pPr>
                            <w:jc w:val="center"/>
                          </w:pPr>
                          <w:r>
                            <w:t>w </w:t>
                          </w:r>
                          <w:r w:rsidRPr="00C4629B">
                            <w:t>II</w:t>
                          </w:r>
                          <w:r w:rsidR="0075571D" w:rsidRPr="0075571D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57575B4" wp14:editId="10892CC2">
                                <wp:extent cx="1435100" cy="336550"/>
                                <wp:effectExtent l="0" t="0" r="0" b="0"/>
                                <wp:docPr id="7" name="Obraz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35100" cy="336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C4629B">
                            <w:t xml:space="preserve"> kwartale 2019 r. szacunkowe wartości</w:t>
                          </w:r>
                          <w:r>
                            <w:t xml:space="preserve"> towarów i </w:t>
                          </w:r>
                          <w:r w:rsidRPr="00C4629B">
                            <w:t>usług zakupionych przez cudzoziemców w Polsce oraz towarów i usług zakupionych przez Polaków za granicą, były większe niż w analogicznych okresach 2018 roku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920CFA" id="Prostokąt 10" o:spid="_x0000_s1031" style="position:absolute;margin-left:96.2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t5upAIAAJwFAAAOAAAAZHJzL2Uyb0RvYy54bWysVM1u2zAMvg/YOwi6r/5Bs6ZBnSJokWFA&#10;0QZrh54VWY6NyaImKbGz+95sD1ZKst2uK3YYlgCyKJIf/3lx2beSHISxDaiCZicpJUJxKBu1K+jX&#10;h/WHOSXWMVUyCUoU9CgsvVy+f3fR6YXIoQZZCkMQRNlFpwtaO6cXSWJ5LVpmT0ALhcwKTMsckmaX&#10;lIZ1iN7KJE/Tj0kHptQGuLAWX68jky4DflUJ7u6qygpHZEHRNxdOE86tP5PlBVvsDNN1wwc32D94&#10;0bJGodEJ6po5Rvam+QOqbbgBC5U74dAmUFUNFyEGjCZLX0VzXzMtQiyYHKunNNn/B8tvDxtDmhJr&#10;h+lRrMUabdBDB99+/XQEHzFDnbYLFLzXGzNQFq8+3L4yrf9iIKQPWT1OWRW9Ixwfs/lZdj5HdI68&#10;PD9PZ+l85mGTZ31trPskoCX+UlCDdQvpZIcb66LoKOLNWZBNuW6kDITZba+kIQeGNV7n/j+g/yYm&#10;lRdW4NUion9JfGwxmnBzRym8nFRfRIV5Qf/z4EnoSDHZYZwL5bLIqlkpovlZir/Ruu9hrxEiDYAe&#10;uUL7E/YAMEpGkBE7ejnIe1URGnpSTv/mWFSeNIJlUG5SbhsF5i0AiVENlqP8mKSYGp8l12/70DMh&#10;0f5lC+UR+8hAHDCr+brBSt4w6zbM4ERh+XFLuDs8KgldQWG4UVKD+fHWu5fHRkcuJR1OaEHt9z0z&#10;ghL5WeEInGenp36kA3E6O8uRMC8525cctW+vABskw32kebh6eSfHa2WgfcRlsvJWkcUUR9sF5c6M&#10;xJWLmwPXERerVRDDMdbM3ah7zT24z7Pv1If+kRk9tLPDUbiFcZrZ4lVXR1mvqWC1d1A1oeWf8zpU&#10;AFdAaKVhXfkd85IOUs9LdfkEAAD//wMAUEsDBBQABgAIAAAAIQCz/e1b4QAAAAgBAAAPAAAAZHJz&#10;L2Rvd25yZXYueG1sTI9BT4NAEIXvJv6HzZh4s4vVUESGxqgkJl5qK9HetuwIpOwssluK/nrXkx4n&#10;b/Le92XLyXRipMG1lhEuZxEI4srqlmuE101xkYBwXrFWnWVC+CIHy/z0JFOptkd+oXHtaxFK2KUK&#10;ofG+T6V0VUNGuZntiUP2YQejfDiHWupBHUO56eQ8imJpVMthoVE93TdU7dcHg2C34+ZZF8W+LL8f&#10;3lbJ43v5uX1CPD+b7m5BeJr83zP84gd0yAPTzh5YO9EhBBGPkEQxiJDOb66DyA7hKk4WC5B5Jv8L&#10;5D8AAAD//wMAUEsBAi0AFAAGAAgAAAAhALaDOJL+AAAA4QEAABMAAAAAAAAAAAAAAAAAAAAAAFtD&#10;b250ZW50X1R5cGVzXS54bWxQSwECLQAUAAYACAAAACEAOP0h/9YAAACUAQAACwAAAAAAAAAAAAAA&#10;AAAvAQAAX3JlbHMvLnJlbHNQSwECLQAUAAYACAAAACEAdGLebqQCAACcBQAADgAAAAAAAAAAAAAA&#10;AAAuAgAAZHJzL2Uyb0RvYy54bWxQSwECLQAUAAYACAAAACEAs/3tW+EAAAAIAQAADwAAAAAAAAAA&#10;AAAAAAD+BAAAZHJzL2Rvd25yZXYueG1sUEsFBgAAAAAEAAQA8wAAAAwGAAAAAA==&#10;" fillcolor="#f2f2f2" stroked="f" strokeweight="1pt">
              <v:textbox>
                <w:txbxContent>
                  <w:p w14:paraId="54A05FB1" w14:textId="7986D92D" w:rsidR="0045140F" w:rsidRDefault="0045140F" w:rsidP="0045140F">
                    <w:pPr>
                      <w:jc w:val="center"/>
                    </w:pPr>
                    <w:r>
                      <w:t>w </w:t>
                    </w:r>
                    <w:r w:rsidRPr="00C4629B">
                      <w:t>II</w:t>
                    </w:r>
                    <w:r w:rsidR="0075571D" w:rsidRPr="0075571D">
                      <w:rPr>
                        <w:noProof/>
                        <w:lang w:eastAsia="pl-PL"/>
                      </w:rPr>
                      <w:drawing>
                        <wp:inline distT="0" distB="0" distL="0" distR="0" wp14:anchorId="357575B4" wp14:editId="10892CC2">
                          <wp:extent cx="1435100" cy="336550"/>
                          <wp:effectExtent l="0" t="0" r="0" b="0"/>
                          <wp:docPr id="7" name="Obraz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35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C4629B">
                      <w:t xml:space="preserve"> kwartale 2019 r. szacunkowe wartości</w:t>
                    </w:r>
                    <w:r>
                      <w:t xml:space="preserve"> towarów i </w:t>
                    </w:r>
                    <w:r w:rsidRPr="00C4629B">
                      <w:t>usług zakupionych przez cudzoziemców w Polsce oraz towarów i usług zakupionych przez Polaków za granicą, były większe niż w analogicznych okresach 2018 roku</w:t>
                    </w:r>
                  </w:p>
                </w:txbxContent>
              </v:textbox>
              <w10:wrap type="tight"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20CF3" w14:textId="77777777" w:rsidR="00607CC5" w:rsidRDefault="00607CC5">
    <w:pPr>
      <w:pStyle w:val="Nagwek"/>
    </w:pPr>
  </w:p>
  <w:p w14:paraId="7B920CF4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2.45pt;height:130.4pt;visibility:visible;mso-wrap-style:square" o:bullet="t">
        <v:imagedata r:id="rId1" o:title=""/>
      </v:shape>
    </w:pict>
  </w:numPicBullet>
  <w:numPicBullet w:numPicBulletId="1">
    <w:pict>
      <v:shape id="_x0000_i1031" type="#_x0000_t75" style="width:123pt;height:130.4pt;visibility:visible;mso-wrap-style:square" o:bullet="t">
        <v:imagedata r:id="rId2" o:title=""/>
      </v:shape>
    </w:pict>
  </w:numPicBullet>
  <w:numPicBullet w:numPicBulletId="2">
    <w:pict>
      <v:shape id="_x0000_i1032" type="#_x0000_t75" style="width:32.3pt;height:32.3pt;visibility:visible;mso-wrap-style:square" o:bullet="t">
        <v:imagedata r:id="rId3" o:title=""/>
      </v:shape>
    </w:pict>
  </w:numPicBullet>
  <w:numPicBullet w:numPicBulletId="3">
    <w:pict>
      <v:shape id="_x0000_i1033" type="#_x0000_t75" style="width:32.3pt;height:32.3pt;visibility:visible;mso-wrap-style:square" o:bullet="t">
        <v:imagedata r:id="rId4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7122362"/>
    <w:multiLevelType w:val="hybridMultilevel"/>
    <w:tmpl w:val="18B2E1CE"/>
    <w:lvl w:ilvl="0" w:tplc="4DCC028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4DC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2425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AA1E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4AF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9C53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7806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EEA6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521E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C014B51"/>
    <w:multiLevelType w:val="hybridMultilevel"/>
    <w:tmpl w:val="3BD279DC"/>
    <w:lvl w:ilvl="0" w:tplc="A180123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87882"/>
    <w:multiLevelType w:val="hybridMultilevel"/>
    <w:tmpl w:val="C2A27770"/>
    <w:lvl w:ilvl="0" w:tplc="87D44A4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16AB4"/>
    <w:multiLevelType w:val="hybridMultilevel"/>
    <w:tmpl w:val="7B944D98"/>
    <w:lvl w:ilvl="0" w:tplc="36D4E44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3264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56F2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323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617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F60E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CE44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108E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BCCC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3FC2"/>
    <w:rsid w:val="00004DF3"/>
    <w:rsid w:val="0000709F"/>
    <w:rsid w:val="00010594"/>
    <w:rsid w:val="000108B8"/>
    <w:rsid w:val="0001115F"/>
    <w:rsid w:val="000152F5"/>
    <w:rsid w:val="00024706"/>
    <w:rsid w:val="0003105E"/>
    <w:rsid w:val="000344C9"/>
    <w:rsid w:val="00035157"/>
    <w:rsid w:val="00035D14"/>
    <w:rsid w:val="00043ADB"/>
    <w:rsid w:val="0004582E"/>
    <w:rsid w:val="00045925"/>
    <w:rsid w:val="000470AA"/>
    <w:rsid w:val="0005059D"/>
    <w:rsid w:val="0005533A"/>
    <w:rsid w:val="00057CA1"/>
    <w:rsid w:val="00060E46"/>
    <w:rsid w:val="0006629F"/>
    <w:rsid w:val="000662E2"/>
    <w:rsid w:val="00066529"/>
    <w:rsid w:val="00066883"/>
    <w:rsid w:val="000712AA"/>
    <w:rsid w:val="00074DD8"/>
    <w:rsid w:val="000763DB"/>
    <w:rsid w:val="00080356"/>
    <w:rsid w:val="000806F7"/>
    <w:rsid w:val="00081E2B"/>
    <w:rsid w:val="00084CAF"/>
    <w:rsid w:val="000B0727"/>
    <w:rsid w:val="000C0002"/>
    <w:rsid w:val="000C135D"/>
    <w:rsid w:val="000C31D2"/>
    <w:rsid w:val="000D1D43"/>
    <w:rsid w:val="000D225C"/>
    <w:rsid w:val="000D2A5C"/>
    <w:rsid w:val="000E0918"/>
    <w:rsid w:val="000E7E02"/>
    <w:rsid w:val="000F2175"/>
    <w:rsid w:val="000F2962"/>
    <w:rsid w:val="000F3807"/>
    <w:rsid w:val="000F46F9"/>
    <w:rsid w:val="001004C4"/>
    <w:rsid w:val="001011C3"/>
    <w:rsid w:val="00104A07"/>
    <w:rsid w:val="00110D87"/>
    <w:rsid w:val="0011220F"/>
    <w:rsid w:val="00114DB9"/>
    <w:rsid w:val="00116087"/>
    <w:rsid w:val="001164BA"/>
    <w:rsid w:val="00120950"/>
    <w:rsid w:val="00130296"/>
    <w:rsid w:val="00136635"/>
    <w:rsid w:val="00136F86"/>
    <w:rsid w:val="001405CA"/>
    <w:rsid w:val="001423B6"/>
    <w:rsid w:val="001448A7"/>
    <w:rsid w:val="00146621"/>
    <w:rsid w:val="00153A3D"/>
    <w:rsid w:val="001553AA"/>
    <w:rsid w:val="00155957"/>
    <w:rsid w:val="00162325"/>
    <w:rsid w:val="00163C58"/>
    <w:rsid w:val="001657BD"/>
    <w:rsid w:val="00166F61"/>
    <w:rsid w:val="00177A67"/>
    <w:rsid w:val="0018429F"/>
    <w:rsid w:val="0019378E"/>
    <w:rsid w:val="00193880"/>
    <w:rsid w:val="00194C20"/>
    <w:rsid w:val="001951DA"/>
    <w:rsid w:val="00197DF7"/>
    <w:rsid w:val="001A247F"/>
    <w:rsid w:val="001A2630"/>
    <w:rsid w:val="001A2AC4"/>
    <w:rsid w:val="001A7774"/>
    <w:rsid w:val="001B6EE6"/>
    <w:rsid w:val="001C3269"/>
    <w:rsid w:val="001C5FB4"/>
    <w:rsid w:val="001C6C33"/>
    <w:rsid w:val="001D1A9A"/>
    <w:rsid w:val="001D1DB4"/>
    <w:rsid w:val="001D3EE3"/>
    <w:rsid w:val="001D54F2"/>
    <w:rsid w:val="001D7556"/>
    <w:rsid w:val="001F33A7"/>
    <w:rsid w:val="0020643D"/>
    <w:rsid w:val="00210F9B"/>
    <w:rsid w:val="002124B5"/>
    <w:rsid w:val="00215D4D"/>
    <w:rsid w:val="0021745D"/>
    <w:rsid w:val="00226CA2"/>
    <w:rsid w:val="00227833"/>
    <w:rsid w:val="002338AB"/>
    <w:rsid w:val="00233F81"/>
    <w:rsid w:val="00236F5A"/>
    <w:rsid w:val="002402A1"/>
    <w:rsid w:val="002432BE"/>
    <w:rsid w:val="002441F9"/>
    <w:rsid w:val="002511A9"/>
    <w:rsid w:val="00252CF8"/>
    <w:rsid w:val="002540AD"/>
    <w:rsid w:val="002574F9"/>
    <w:rsid w:val="00262B61"/>
    <w:rsid w:val="00271C73"/>
    <w:rsid w:val="0027311B"/>
    <w:rsid w:val="00273754"/>
    <w:rsid w:val="00276811"/>
    <w:rsid w:val="00280D30"/>
    <w:rsid w:val="00282699"/>
    <w:rsid w:val="00284A60"/>
    <w:rsid w:val="002853F7"/>
    <w:rsid w:val="002868D6"/>
    <w:rsid w:val="002926DF"/>
    <w:rsid w:val="00296697"/>
    <w:rsid w:val="002A2195"/>
    <w:rsid w:val="002B0472"/>
    <w:rsid w:val="002B33DD"/>
    <w:rsid w:val="002B356B"/>
    <w:rsid w:val="002B6B12"/>
    <w:rsid w:val="002B7F7A"/>
    <w:rsid w:val="002C0D9C"/>
    <w:rsid w:val="002C2C87"/>
    <w:rsid w:val="002C374A"/>
    <w:rsid w:val="002D1FF2"/>
    <w:rsid w:val="002D32DB"/>
    <w:rsid w:val="002D5109"/>
    <w:rsid w:val="002E0129"/>
    <w:rsid w:val="002E3632"/>
    <w:rsid w:val="002E6140"/>
    <w:rsid w:val="002E6985"/>
    <w:rsid w:val="002E7147"/>
    <w:rsid w:val="002E71B6"/>
    <w:rsid w:val="002F28D4"/>
    <w:rsid w:val="002F5A01"/>
    <w:rsid w:val="002F6C06"/>
    <w:rsid w:val="002F77C8"/>
    <w:rsid w:val="00304F22"/>
    <w:rsid w:val="00306C7C"/>
    <w:rsid w:val="00310AF9"/>
    <w:rsid w:val="003173AB"/>
    <w:rsid w:val="00322EDD"/>
    <w:rsid w:val="00332320"/>
    <w:rsid w:val="0033559F"/>
    <w:rsid w:val="00336344"/>
    <w:rsid w:val="00336D3D"/>
    <w:rsid w:val="00342C78"/>
    <w:rsid w:val="00344749"/>
    <w:rsid w:val="00347D72"/>
    <w:rsid w:val="00357611"/>
    <w:rsid w:val="00357D56"/>
    <w:rsid w:val="003614DF"/>
    <w:rsid w:val="00362E35"/>
    <w:rsid w:val="0036477D"/>
    <w:rsid w:val="00366126"/>
    <w:rsid w:val="00367237"/>
    <w:rsid w:val="00370628"/>
    <w:rsid w:val="0037077F"/>
    <w:rsid w:val="0037133E"/>
    <w:rsid w:val="0037200F"/>
    <w:rsid w:val="00372411"/>
    <w:rsid w:val="003732CE"/>
    <w:rsid w:val="00373882"/>
    <w:rsid w:val="003778D8"/>
    <w:rsid w:val="00380E3B"/>
    <w:rsid w:val="00382974"/>
    <w:rsid w:val="00384100"/>
    <w:rsid w:val="003843DB"/>
    <w:rsid w:val="00386091"/>
    <w:rsid w:val="00386BA2"/>
    <w:rsid w:val="00391DCC"/>
    <w:rsid w:val="00393761"/>
    <w:rsid w:val="00395425"/>
    <w:rsid w:val="00395735"/>
    <w:rsid w:val="00397D18"/>
    <w:rsid w:val="003A1A3A"/>
    <w:rsid w:val="003A1B36"/>
    <w:rsid w:val="003B1454"/>
    <w:rsid w:val="003B18B6"/>
    <w:rsid w:val="003B197A"/>
    <w:rsid w:val="003B5D92"/>
    <w:rsid w:val="003C136B"/>
    <w:rsid w:val="003C1D9B"/>
    <w:rsid w:val="003C4795"/>
    <w:rsid w:val="003C59E0"/>
    <w:rsid w:val="003C6C8D"/>
    <w:rsid w:val="003D16B0"/>
    <w:rsid w:val="003D4F95"/>
    <w:rsid w:val="003D5F42"/>
    <w:rsid w:val="003D60A9"/>
    <w:rsid w:val="003D7432"/>
    <w:rsid w:val="003E1EA3"/>
    <w:rsid w:val="003E2993"/>
    <w:rsid w:val="003F0400"/>
    <w:rsid w:val="003F3C8D"/>
    <w:rsid w:val="003F4C97"/>
    <w:rsid w:val="003F552F"/>
    <w:rsid w:val="003F7EC6"/>
    <w:rsid w:val="003F7FE6"/>
    <w:rsid w:val="00400193"/>
    <w:rsid w:val="004053B6"/>
    <w:rsid w:val="0040573D"/>
    <w:rsid w:val="00415886"/>
    <w:rsid w:val="00416B5B"/>
    <w:rsid w:val="0041761C"/>
    <w:rsid w:val="004212E7"/>
    <w:rsid w:val="00421681"/>
    <w:rsid w:val="004234CF"/>
    <w:rsid w:val="0042446D"/>
    <w:rsid w:val="0042648D"/>
    <w:rsid w:val="00427BF8"/>
    <w:rsid w:val="00431C02"/>
    <w:rsid w:val="00432AB8"/>
    <w:rsid w:val="00437395"/>
    <w:rsid w:val="004419FF"/>
    <w:rsid w:val="00442578"/>
    <w:rsid w:val="00445047"/>
    <w:rsid w:val="00446CC4"/>
    <w:rsid w:val="0045140F"/>
    <w:rsid w:val="004515E3"/>
    <w:rsid w:val="00451A29"/>
    <w:rsid w:val="0045321E"/>
    <w:rsid w:val="00453D14"/>
    <w:rsid w:val="004552B4"/>
    <w:rsid w:val="004557A8"/>
    <w:rsid w:val="00457406"/>
    <w:rsid w:val="00460060"/>
    <w:rsid w:val="00463E39"/>
    <w:rsid w:val="004655F3"/>
    <w:rsid w:val="004657FC"/>
    <w:rsid w:val="004671B7"/>
    <w:rsid w:val="004675FD"/>
    <w:rsid w:val="00472CE6"/>
    <w:rsid w:val="004733F6"/>
    <w:rsid w:val="004746DF"/>
    <w:rsid w:val="00474E69"/>
    <w:rsid w:val="0047766B"/>
    <w:rsid w:val="004850CF"/>
    <w:rsid w:val="00486219"/>
    <w:rsid w:val="004863C7"/>
    <w:rsid w:val="00491128"/>
    <w:rsid w:val="0049621B"/>
    <w:rsid w:val="00496EDB"/>
    <w:rsid w:val="00497903"/>
    <w:rsid w:val="004A0721"/>
    <w:rsid w:val="004A24CA"/>
    <w:rsid w:val="004A7494"/>
    <w:rsid w:val="004B557C"/>
    <w:rsid w:val="004C1895"/>
    <w:rsid w:val="004C42AA"/>
    <w:rsid w:val="004C6D40"/>
    <w:rsid w:val="004C7270"/>
    <w:rsid w:val="004C72B4"/>
    <w:rsid w:val="004D2328"/>
    <w:rsid w:val="004E064F"/>
    <w:rsid w:val="004E128E"/>
    <w:rsid w:val="004E3E33"/>
    <w:rsid w:val="004E631F"/>
    <w:rsid w:val="004E7E59"/>
    <w:rsid w:val="004F0C3C"/>
    <w:rsid w:val="004F568A"/>
    <w:rsid w:val="004F63FC"/>
    <w:rsid w:val="00501187"/>
    <w:rsid w:val="005018D7"/>
    <w:rsid w:val="00505A92"/>
    <w:rsid w:val="00512D01"/>
    <w:rsid w:val="00515DDE"/>
    <w:rsid w:val="00516026"/>
    <w:rsid w:val="005203F1"/>
    <w:rsid w:val="00520CF4"/>
    <w:rsid w:val="00521BC3"/>
    <w:rsid w:val="0052244A"/>
    <w:rsid w:val="005332D9"/>
    <w:rsid w:val="00533632"/>
    <w:rsid w:val="00534BCA"/>
    <w:rsid w:val="00541190"/>
    <w:rsid w:val="00541E6E"/>
    <w:rsid w:val="0054251F"/>
    <w:rsid w:val="00542D05"/>
    <w:rsid w:val="0054310F"/>
    <w:rsid w:val="005432B4"/>
    <w:rsid w:val="005520D8"/>
    <w:rsid w:val="00554952"/>
    <w:rsid w:val="00555D50"/>
    <w:rsid w:val="00556CF1"/>
    <w:rsid w:val="005573B0"/>
    <w:rsid w:val="00564ADF"/>
    <w:rsid w:val="00566846"/>
    <w:rsid w:val="00567426"/>
    <w:rsid w:val="00572309"/>
    <w:rsid w:val="005735BE"/>
    <w:rsid w:val="005762A7"/>
    <w:rsid w:val="00581C5B"/>
    <w:rsid w:val="00585699"/>
    <w:rsid w:val="005908AA"/>
    <w:rsid w:val="00591491"/>
    <w:rsid w:val="005916D7"/>
    <w:rsid w:val="00592050"/>
    <w:rsid w:val="0059696A"/>
    <w:rsid w:val="005A252E"/>
    <w:rsid w:val="005A4D7B"/>
    <w:rsid w:val="005A698C"/>
    <w:rsid w:val="005B0433"/>
    <w:rsid w:val="005B1F2D"/>
    <w:rsid w:val="005B1FE8"/>
    <w:rsid w:val="005B32C9"/>
    <w:rsid w:val="005B4B2E"/>
    <w:rsid w:val="005B77BD"/>
    <w:rsid w:val="005C6718"/>
    <w:rsid w:val="005C7E77"/>
    <w:rsid w:val="005E0799"/>
    <w:rsid w:val="005E67AB"/>
    <w:rsid w:val="005E7266"/>
    <w:rsid w:val="005F55A5"/>
    <w:rsid w:val="005F5A80"/>
    <w:rsid w:val="00600F25"/>
    <w:rsid w:val="006016AC"/>
    <w:rsid w:val="006044FF"/>
    <w:rsid w:val="00607CC5"/>
    <w:rsid w:val="00610EC5"/>
    <w:rsid w:val="00621461"/>
    <w:rsid w:val="00621E6B"/>
    <w:rsid w:val="006259C4"/>
    <w:rsid w:val="00627B33"/>
    <w:rsid w:val="00627D2F"/>
    <w:rsid w:val="00633014"/>
    <w:rsid w:val="0063437B"/>
    <w:rsid w:val="00635578"/>
    <w:rsid w:val="006367DF"/>
    <w:rsid w:val="0064115A"/>
    <w:rsid w:val="00643833"/>
    <w:rsid w:val="00644F6B"/>
    <w:rsid w:val="00646B95"/>
    <w:rsid w:val="006514D5"/>
    <w:rsid w:val="00652F85"/>
    <w:rsid w:val="006673CA"/>
    <w:rsid w:val="00671EAE"/>
    <w:rsid w:val="00672511"/>
    <w:rsid w:val="00673C26"/>
    <w:rsid w:val="00676308"/>
    <w:rsid w:val="006812AF"/>
    <w:rsid w:val="0068327D"/>
    <w:rsid w:val="00685B4C"/>
    <w:rsid w:val="00691676"/>
    <w:rsid w:val="00694AF0"/>
    <w:rsid w:val="00695B71"/>
    <w:rsid w:val="006A1772"/>
    <w:rsid w:val="006A4686"/>
    <w:rsid w:val="006A6673"/>
    <w:rsid w:val="006B0E9E"/>
    <w:rsid w:val="006B5AE4"/>
    <w:rsid w:val="006B707C"/>
    <w:rsid w:val="006C122F"/>
    <w:rsid w:val="006C139F"/>
    <w:rsid w:val="006C24EB"/>
    <w:rsid w:val="006C2A50"/>
    <w:rsid w:val="006C2B23"/>
    <w:rsid w:val="006C4B1F"/>
    <w:rsid w:val="006C69A5"/>
    <w:rsid w:val="006D1507"/>
    <w:rsid w:val="006D2E91"/>
    <w:rsid w:val="006D345E"/>
    <w:rsid w:val="006D4054"/>
    <w:rsid w:val="006D65A8"/>
    <w:rsid w:val="006E02EC"/>
    <w:rsid w:val="006E49AD"/>
    <w:rsid w:val="006F02AA"/>
    <w:rsid w:val="006F11DB"/>
    <w:rsid w:val="006F7531"/>
    <w:rsid w:val="007056EA"/>
    <w:rsid w:val="00706ECC"/>
    <w:rsid w:val="00721016"/>
    <w:rsid w:val="00721154"/>
    <w:rsid w:val="007211B1"/>
    <w:rsid w:val="007216B2"/>
    <w:rsid w:val="00721B5F"/>
    <w:rsid w:val="00722E03"/>
    <w:rsid w:val="00723426"/>
    <w:rsid w:val="00724818"/>
    <w:rsid w:val="007265CB"/>
    <w:rsid w:val="0072786C"/>
    <w:rsid w:val="007325ED"/>
    <w:rsid w:val="0073486C"/>
    <w:rsid w:val="00740DC0"/>
    <w:rsid w:val="00744A9C"/>
    <w:rsid w:val="00746187"/>
    <w:rsid w:val="007543BB"/>
    <w:rsid w:val="0075571D"/>
    <w:rsid w:val="00756145"/>
    <w:rsid w:val="00760EAB"/>
    <w:rsid w:val="0076254F"/>
    <w:rsid w:val="00762A86"/>
    <w:rsid w:val="00762D90"/>
    <w:rsid w:val="00764D1C"/>
    <w:rsid w:val="00766D64"/>
    <w:rsid w:val="007671D4"/>
    <w:rsid w:val="00771E42"/>
    <w:rsid w:val="00774FA1"/>
    <w:rsid w:val="00775776"/>
    <w:rsid w:val="007801F5"/>
    <w:rsid w:val="00782DDB"/>
    <w:rsid w:val="00783CA4"/>
    <w:rsid w:val="007842FB"/>
    <w:rsid w:val="00786124"/>
    <w:rsid w:val="00786803"/>
    <w:rsid w:val="007900D6"/>
    <w:rsid w:val="00791ADB"/>
    <w:rsid w:val="00794952"/>
    <w:rsid w:val="0079514B"/>
    <w:rsid w:val="00797DAA"/>
    <w:rsid w:val="007A2DC1"/>
    <w:rsid w:val="007A350A"/>
    <w:rsid w:val="007A4854"/>
    <w:rsid w:val="007A5CF7"/>
    <w:rsid w:val="007A72CB"/>
    <w:rsid w:val="007B1B48"/>
    <w:rsid w:val="007B698F"/>
    <w:rsid w:val="007B6BAA"/>
    <w:rsid w:val="007B7880"/>
    <w:rsid w:val="007C71B6"/>
    <w:rsid w:val="007D1128"/>
    <w:rsid w:val="007D1FB7"/>
    <w:rsid w:val="007D3319"/>
    <w:rsid w:val="007D335D"/>
    <w:rsid w:val="007D3992"/>
    <w:rsid w:val="007E2497"/>
    <w:rsid w:val="007E3314"/>
    <w:rsid w:val="007E46D8"/>
    <w:rsid w:val="007E4B03"/>
    <w:rsid w:val="007E5CAD"/>
    <w:rsid w:val="007F2270"/>
    <w:rsid w:val="007F2FD1"/>
    <w:rsid w:val="007F324B"/>
    <w:rsid w:val="007F4F5E"/>
    <w:rsid w:val="0080098E"/>
    <w:rsid w:val="0080162D"/>
    <w:rsid w:val="00801F8F"/>
    <w:rsid w:val="00802D10"/>
    <w:rsid w:val="008048AA"/>
    <w:rsid w:val="0080553C"/>
    <w:rsid w:val="00805B46"/>
    <w:rsid w:val="0081331A"/>
    <w:rsid w:val="0082009E"/>
    <w:rsid w:val="00821322"/>
    <w:rsid w:val="008241FA"/>
    <w:rsid w:val="00825DC2"/>
    <w:rsid w:val="00826186"/>
    <w:rsid w:val="008333AF"/>
    <w:rsid w:val="00833B5A"/>
    <w:rsid w:val="00834AD3"/>
    <w:rsid w:val="0084114E"/>
    <w:rsid w:val="00842ECC"/>
    <w:rsid w:val="008435C2"/>
    <w:rsid w:val="00843795"/>
    <w:rsid w:val="00843E75"/>
    <w:rsid w:val="00845769"/>
    <w:rsid w:val="00847F0F"/>
    <w:rsid w:val="00852448"/>
    <w:rsid w:val="008569E3"/>
    <w:rsid w:val="00860EE0"/>
    <w:rsid w:val="00861897"/>
    <w:rsid w:val="00863D81"/>
    <w:rsid w:val="00866F66"/>
    <w:rsid w:val="00867B3C"/>
    <w:rsid w:val="008725CA"/>
    <w:rsid w:val="008749AC"/>
    <w:rsid w:val="00880311"/>
    <w:rsid w:val="00880D05"/>
    <w:rsid w:val="008823B6"/>
    <w:rsid w:val="0088258A"/>
    <w:rsid w:val="00883204"/>
    <w:rsid w:val="00883788"/>
    <w:rsid w:val="00885B16"/>
    <w:rsid w:val="00886332"/>
    <w:rsid w:val="00886E90"/>
    <w:rsid w:val="00892191"/>
    <w:rsid w:val="008A26D9"/>
    <w:rsid w:val="008A697D"/>
    <w:rsid w:val="008A6A5B"/>
    <w:rsid w:val="008A7DCD"/>
    <w:rsid w:val="008B007F"/>
    <w:rsid w:val="008C0C29"/>
    <w:rsid w:val="008C19E5"/>
    <w:rsid w:val="008D1DFB"/>
    <w:rsid w:val="008D5362"/>
    <w:rsid w:val="008E0837"/>
    <w:rsid w:val="008E25ED"/>
    <w:rsid w:val="008E2E82"/>
    <w:rsid w:val="008E7CDC"/>
    <w:rsid w:val="008F1B47"/>
    <w:rsid w:val="008F2652"/>
    <w:rsid w:val="008F3638"/>
    <w:rsid w:val="008F4441"/>
    <w:rsid w:val="008F4AEF"/>
    <w:rsid w:val="008F51FD"/>
    <w:rsid w:val="008F6F31"/>
    <w:rsid w:val="008F74DF"/>
    <w:rsid w:val="00901A6B"/>
    <w:rsid w:val="00901D54"/>
    <w:rsid w:val="00902D82"/>
    <w:rsid w:val="009034BD"/>
    <w:rsid w:val="0090372C"/>
    <w:rsid w:val="00905677"/>
    <w:rsid w:val="00905A28"/>
    <w:rsid w:val="00907A81"/>
    <w:rsid w:val="00907D13"/>
    <w:rsid w:val="009127BA"/>
    <w:rsid w:val="00913ED9"/>
    <w:rsid w:val="00917DDA"/>
    <w:rsid w:val="009227A6"/>
    <w:rsid w:val="00924433"/>
    <w:rsid w:val="00925756"/>
    <w:rsid w:val="00927A72"/>
    <w:rsid w:val="0093370D"/>
    <w:rsid w:val="00933EC1"/>
    <w:rsid w:val="00934C5E"/>
    <w:rsid w:val="00934F4E"/>
    <w:rsid w:val="009363FA"/>
    <w:rsid w:val="0093759C"/>
    <w:rsid w:val="0094434A"/>
    <w:rsid w:val="0094458F"/>
    <w:rsid w:val="009458F7"/>
    <w:rsid w:val="009519DE"/>
    <w:rsid w:val="009530DB"/>
    <w:rsid w:val="00953676"/>
    <w:rsid w:val="00963294"/>
    <w:rsid w:val="00963F95"/>
    <w:rsid w:val="009673EB"/>
    <w:rsid w:val="00970308"/>
    <w:rsid w:val="009705EE"/>
    <w:rsid w:val="009750D8"/>
    <w:rsid w:val="00975CD0"/>
    <w:rsid w:val="00977927"/>
    <w:rsid w:val="00980F40"/>
    <w:rsid w:val="0098135C"/>
    <w:rsid w:val="0098156A"/>
    <w:rsid w:val="0098245B"/>
    <w:rsid w:val="00983541"/>
    <w:rsid w:val="00990C91"/>
    <w:rsid w:val="00990F2E"/>
    <w:rsid w:val="00991BAC"/>
    <w:rsid w:val="0099352A"/>
    <w:rsid w:val="00993536"/>
    <w:rsid w:val="009A1BB7"/>
    <w:rsid w:val="009A6EA0"/>
    <w:rsid w:val="009B126C"/>
    <w:rsid w:val="009B6C55"/>
    <w:rsid w:val="009C1335"/>
    <w:rsid w:val="009C1AB2"/>
    <w:rsid w:val="009C7251"/>
    <w:rsid w:val="009E2E91"/>
    <w:rsid w:val="009E77DA"/>
    <w:rsid w:val="009F2834"/>
    <w:rsid w:val="009F5428"/>
    <w:rsid w:val="009F68A0"/>
    <w:rsid w:val="00A00ED3"/>
    <w:rsid w:val="00A02522"/>
    <w:rsid w:val="00A04718"/>
    <w:rsid w:val="00A07764"/>
    <w:rsid w:val="00A135F5"/>
    <w:rsid w:val="00A139F5"/>
    <w:rsid w:val="00A13E16"/>
    <w:rsid w:val="00A20A5A"/>
    <w:rsid w:val="00A22FB2"/>
    <w:rsid w:val="00A25552"/>
    <w:rsid w:val="00A274E4"/>
    <w:rsid w:val="00A3251B"/>
    <w:rsid w:val="00A35178"/>
    <w:rsid w:val="00A353E3"/>
    <w:rsid w:val="00A365F4"/>
    <w:rsid w:val="00A40BD1"/>
    <w:rsid w:val="00A40F79"/>
    <w:rsid w:val="00A43C4F"/>
    <w:rsid w:val="00A440CD"/>
    <w:rsid w:val="00A442BC"/>
    <w:rsid w:val="00A45781"/>
    <w:rsid w:val="00A47D80"/>
    <w:rsid w:val="00A51EFD"/>
    <w:rsid w:val="00A5290E"/>
    <w:rsid w:val="00A53132"/>
    <w:rsid w:val="00A563F2"/>
    <w:rsid w:val="00A566E8"/>
    <w:rsid w:val="00A60D84"/>
    <w:rsid w:val="00A63986"/>
    <w:rsid w:val="00A65DCC"/>
    <w:rsid w:val="00A664A8"/>
    <w:rsid w:val="00A671A2"/>
    <w:rsid w:val="00A71BEA"/>
    <w:rsid w:val="00A72F8E"/>
    <w:rsid w:val="00A73641"/>
    <w:rsid w:val="00A744C5"/>
    <w:rsid w:val="00A7636A"/>
    <w:rsid w:val="00A7666A"/>
    <w:rsid w:val="00A76B8D"/>
    <w:rsid w:val="00A810F9"/>
    <w:rsid w:val="00A86ECC"/>
    <w:rsid w:val="00A86FCC"/>
    <w:rsid w:val="00A935CC"/>
    <w:rsid w:val="00A95AA8"/>
    <w:rsid w:val="00A96C39"/>
    <w:rsid w:val="00AA1CC6"/>
    <w:rsid w:val="00AA6F24"/>
    <w:rsid w:val="00AA710D"/>
    <w:rsid w:val="00AB24D3"/>
    <w:rsid w:val="00AB3833"/>
    <w:rsid w:val="00AB6D25"/>
    <w:rsid w:val="00AC1BE6"/>
    <w:rsid w:val="00AD0C80"/>
    <w:rsid w:val="00AD2639"/>
    <w:rsid w:val="00AD4350"/>
    <w:rsid w:val="00AD491B"/>
    <w:rsid w:val="00AD4DCA"/>
    <w:rsid w:val="00AE1EAC"/>
    <w:rsid w:val="00AE2197"/>
    <w:rsid w:val="00AE27D9"/>
    <w:rsid w:val="00AE2D4B"/>
    <w:rsid w:val="00AE4F99"/>
    <w:rsid w:val="00AE685B"/>
    <w:rsid w:val="00AF0711"/>
    <w:rsid w:val="00AF4433"/>
    <w:rsid w:val="00AF480D"/>
    <w:rsid w:val="00AF5045"/>
    <w:rsid w:val="00AF5680"/>
    <w:rsid w:val="00B074E0"/>
    <w:rsid w:val="00B11874"/>
    <w:rsid w:val="00B132FB"/>
    <w:rsid w:val="00B13A45"/>
    <w:rsid w:val="00B14952"/>
    <w:rsid w:val="00B16B0D"/>
    <w:rsid w:val="00B21373"/>
    <w:rsid w:val="00B2345B"/>
    <w:rsid w:val="00B236D0"/>
    <w:rsid w:val="00B30161"/>
    <w:rsid w:val="00B31A8E"/>
    <w:rsid w:val="00B31E5A"/>
    <w:rsid w:val="00B37E2B"/>
    <w:rsid w:val="00B432BD"/>
    <w:rsid w:val="00B44A04"/>
    <w:rsid w:val="00B514FF"/>
    <w:rsid w:val="00B52C7A"/>
    <w:rsid w:val="00B53429"/>
    <w:rsid w:val="00B53799"/>
    <w:rsid w:val="00B57022"/>
    <w:rsid w:val="00B6071C"/>
    <w:rsid w:val="00B653AB"/>
    <w:rsid w:val="00B65F9E"/>
    <w:rsid w:val="00B66B19"/>
    <w:rsid w:val="00B71068"/>
    <w:rsid w:val="00B7153F"/>
    <w:rsid w:val="00B71B2B"/>
    <w:rsid w:val="00B812A7"/>
    <w:rsid w:val="00B8166B"/>
    <w:rsid w:val="00B82E21"/>
    <w:rsid w:val="00B84167"/>
    <w:rsid w:val="00B841EA"/>
    <w:rsid w:val="00B84542"/>
    <w:rsid w:val="00B84593"/>
    <w:rsid w:val="00B87646"/>
    <w:rsid w:val="00B914E9"/>
    <w:rsid w:val="00B91A19"/>
    <w:rsid w:val="00B9561A"/>
    <w:rsid w:val="00B956EE"/>
    <w:rsid w:val="00BA2BA1"/>
    <w:rsid w:val="00BA2D57"/>
    <w:rsid w:val="00BA62E8"/>
    <w:rsid w:val="00BA69E4"/>
    <w:rsid w:val="00BB4F09"/>
    <w:rsid w:val="00BB5E81"/>
    <w:rsid w:val="00BC0E08"/>
    <w:rsid w:val="00BC2F56"/>
    <w:rsid w:val="00BC5110"/>
    <w:rsid w:val="00BC7187"/>
    <w:rsid w:val="00BD4E33"/>
    <w:rsid w:val="00BD585A"/>
    <w:rsid w:val="00BE1E9C"/>
    <w:rsid w:val="00BE30FC"/>
    <w:rsid w:val="00BE4BB6"/>
    <w:rsid w:val="00BF0900"/>
    <w:rsid w:val="00BF7B08"/>
    <w:rsid w:val="00C01737"/>
    <w:rsid w:val="00C030DE"/>
    <w:rsid w:val="00C06E53"/>
    <w:rsid w:val="00C06F1E"/>
    <w:rsid w:val="00C07316"/>
    <w:rsid w:val="00C13BF1"/>
    <w:rsid w:val="00C16833"/>
    <w:rsid w:val="00C16AD4"/>
    <w:rsid w:val="00C22105"/>
    <w:rsid w:val="00C23799"/>
    <w:rsid w:val="00C244B6"/>
    <w:rsid w:val="00C2529C"/>
    <w:rsid w:val="00C25304"/>
    <w:rsid w:val="00C3147D"/>
    <w:rsid w:val="00C34FC1"/>
    <w:rsid w:val="00C356CA"/>
    <w:rsid w:val="00C3702F"/>
    <w:rsid w:val="00C44D89"/>
    <w:rsid w:val="00C46337"/>
    <w:rsid w:val="00C5010F"/>
    <w:rsid w:val="00C54C3B"/>
    <w:rsid w:val="00C561C1"/>
    <w:rsid w:val="00C60E6A"/>
    <w:rsid w:val="00C63FC8"/>
    <w:rsid w:val="00C6403A"/>
    <w:rsid w:val="00C64A37"/>
    <w:rsid w:val="00C65ED3"/>
    <w:rsid w:val="00C6618E"/>
    <w:rsid w:val="00C6635C"/>
    <w:rsid w:val="00C7158E"/>
    <w:rsid w:val="00C7250B"/>
    <w:rsid w:val="00C7346B"/>
    <w:rsid w:val="00C74CED"/>
    <w:rsid w:val="00C77C0E"/>
    <w:rsid w:val="00C81C9B"/>
    <w:rsid w:val="00C91687"/>
    <w:rsid w:val="00C924A8"/>
    <w:rsid w:val="00C945FE"/>
    <w:rsid w:val="00C96FAA"/>
    <w:rsid w:val="00C97A04"/>
    <w:rsid w:val="00CA0176"/>
    <w:rsid w:val="00CA0F68"/>
    <w:rsid w:val="00CA107B"/>
    <w:rsid w:val="00CA10E6"/>
    <w:rsid w:val="00CA2117"/>
    <w:rsid w:val="00CA484D"/>
    <w:rsid w:val="00CA4FB6"/>
    <w:rsid w:val="00CB1620"/>
    <w:rsid w:val="00CB7330"/>
    <w:rsid w:val="00CC0140"/>
    <w:rsid w:val="00CC08FC"/>
    <w:rsid w:val="00CC4FFD"/>
    <w:rsid w:val="00CC739E"/>
    <w:rsid w:val="00CC7D80"/>
    <w:rsid w:val="00CD58B7"/>
    <w:rsid w:val="00CD78AA"/>
    <w:rsid w:val="00CF0366"/>
    <w:rsid w:val="00CF07BC"/>
    <w:rsid w:val="00CF1CB7"/>
    <w:rsid w:val="00CF4099"/>
    <w:rsid w:val="00CF5754"/>
    <w:rsid w:val="00CF70C1"/>
    <w:rsid w:val="00CF7CEB"/>
    <w:rsid w:val="00D000F4"/>
    <w:rsid w:val="00D00796"/>
    <w:rsid w:val="00D05189"/>
    <w:rsid w:val="00D140B1"/>
    <w:rsid w:val="00D142E2"/>
    <w:rsid w:val="00D1670E"/>
    <w:rsid w:val="00D16D48"/>
    <w:rsid w:val="00D24815"/>
    <w:rsid w:val="00D261A2"/>
    <w:rsid w:val="00D2780C"/>
    <w:rsid w:val="00D324F7"/>
    <w:rsid w:val="00D34DAE"/>
    <w:rsid w:val="00D357A3"/>
    <w:rsid w:val="00D36515"/>
    <w:rsid w:val="00D40FF4"/>
    <w:rsid w:val="00D543BA"/>
    <w:rsid w:val="00D54C44"/>
    <w:rsid w:val="00D55150"/>
    <w:rsid w:val="00D616D2"/>
    <w:rsid w:val="00D63B5F"/>
    <w:rsid w:val="00D669EA"/>
    <w:rsid w:val="00D70EF7"/>
    <w:rsid w:val="00D81A8E"/>
    <w:rsid w:val="00D8397C"/>
    <w:rsid w:val="00D86BB3"/>
    <w:rsid w:val="00D87772"/>
    <w:rsid w:val="00D92F96"/>
    <w:rsid w:val="00D9317A"/>
    <w:rsid w:val="00D938AF"/>
    <w:rsid w:val="00D94EED"/>
    <w:rsid w:val="00D96026"/>
    <w:rsid w:val="00D97EB8"/>
    <w:rsid w:val="00DA0026"/>
    <w:rsid w:val="00DA2694"/>
    <w:rsid w:val="00DA441D"/>
    <w:rsid w:val="00DA6489"/>
    <w:rsid w:val="00DA7340"/>
    <w:rsid w:val="00DA7650"/>
    <w:rsid w:val="00DA7C1C"/>
    <w:rsid w:val="00DA7C40"/>
    <w:rsid w:val="00DB147A"/>
    <w:rsid w:val="00DB1B7A"/>
    <w:rsid w:val="00DB5A15"/>
    <w:rsid w:val="00DC0E1E"/>
    <w:rsid w:val="00DC128B"/>
    <w:rsid w:val="00DC396A"/>
    <w:rsid w:val="00DC6708"/>
    <w:rsid w:val="00DD15AC"/>
    <w:rsid w:val="00DD1AC1"/>
    <w:rsid w:val="00DD5FBE"/>
    <w:rsid w:val="00DD6214"/>
    <w:rsid w:val="00DE35E8"/>
    <w:rsid w:val="00DE56E8"/>
    <w:rsid w:val="00DE67E3"/>
    <w:rsid w:val="00DF1763"/>
    <w:rsid w:val="00DF2E6E"/>
    <w:rsid w:val="00DF43D0"/>
    <w:rsid w:val="00DF6723"/>
    <w:rsid w:val="00E007DE"/>
    <w:rsid w:val="00E01436"/>
    <w:rsid w:val="00E02728"/>
    <w:rsid w:val="00E027D1"/>
    <w:rsid w:val="00E045BD"/>
    <w:rsid w:val="00E10DAC"/>
    <w:rsid w:val="00E148F0"/>
    <w:rsid w:val="00E15DD6"/>
    <w:rsid w:val="00E17B77"/>
    <w:rsid w:val="00E23337"/>
    <w:rsid w:val="00E236E9"/>
    <w:rsid w:val="00E24AC0"/>
    <w:rsid w:val="00E259EA"/>
    <w:rsid w:val="00E25D01"/>
    <w:rsid w:val="00E32061"/>
    <w:rsid w:val="00E3429F"/>
    <w:rsid w:val="00E35C75"/>
    <w:rsid w:val="00E35D1E"/>
    <w:rsid w:val="00E36CE5"/>
    <w:rsid w:val="00E42FF9"/>
    <w:rsid w:val="00E430CD"/>
    <w:rsid w:val="00E4714C"/>
    <w:rsid w:val="00E479AB"/>
    <w:rsid w:val="00E51AEB"/>
    <w:rsid w:val="00E522A7"/>
    <w:rsid w:val="00E54452"/>
    <w:rsid w:val="00E54BAB"/>
    <w:rsid w:val="00E664C5"/>
    <w:rsid w:val="00E671A2"/>
    <w:rsid w:val="00E71658"/>
    <w:rsid w:val="00E7445D"/>
    <w:rsid w:val="00E7464D"/>
    <w:rsid w:val="00E76D26"/>
    <w:rsid w:val="00E77ED1"/>
    <w:rsid w:val="00E8140F"/>
    <w:rsid w:val="00E94EC9"/>
    <w:rsid w:val="00E967C4"/>
    <w:rsid w:val="00EA02EF"/>
    <w:rsid w:val="00EA34B6"/>
    <w:rsid w:val="00EB0E8D"/>
    <w:rsid w:val="00EB1390"/>
    <w:rsid w:val="00EB22F5"/>
    <w:rsid w:val="00EB2C71"/>
    <w:rsid w:val="00EB4340"/>
    <w:rsid w:val="00EB556D"/>
    <w:rsid w:val="00EB5A7D"/>
    <w:rsid w:val="00EC0812"/>
    <w:rsid w:val="00EC53D2"/>
    <w:rsid w:val="00EC6C50"/>
    <w:rsid w:val="00ED1964"/>
    <w:rsid w:val="00ED471B"/>
    <w:rsid w:val="00ED55C0"/>
    <w:rsid w:val="00ED682B"/>
    <w:rsid w:val="00ED6AC7"/>
    <w:rsid w:val="00EE41D5"/>
    <w:rsid w:val="00EE6FC7"/>
    <w:rsid w:val="00EF058C"/>
    <w:rsid w:val="00EF31B4"/>
    <w:rsid w:val="00EF4C20"/>
    <w:rsid w:val="00EF79D4"/>
    <w:rsid w:val="00EF7FF0"/>
    <w:rsid w:val="00F02F29"/>
    <w:rsid w:val="00F037A4"/>
    <w:rsid w:val="00F113F4"/>
    <w:rsid w:val="00F27C8F"/>
    <w:rsid w:val="00F32749"/>
    <w:rsid w:val="00F37172"/>
    <w:rsid w:val="00F37807"/>
    <w:rsid w:val="00F40E52"/>
    <w:rsid w:val="00F429A1"/>
    <w:rsid w:val="00F436E5"/>
    <w:rsid w:val="00F43E82"/>
    <w:rsid w:val="00F4477E"/>
    <w:rsid w:val="00F450AA"/>
    <w:rsid w:val="00F45A06"/>
    <w:rsid w:val="00F5024A"/>
    <w:rsid w:val="00F53184"/>
    <w:rsid w:val="00F5618B"/>
    <w:rsid w:val="00F6035B"/>
    <w:rsid w:val="00F62D66"/>
    <w:rsid w:val="00F67D8F"/>
    <w:rsid w:val="00F7257C"/>
    <w:rsid w:val="00F73407"/>
    <w:rsid w:val="00F75E5C"/>
    <w:rsid w:val="00F767DD"/>
    <w:rsid w:val="00F802BE"/>
    <w:rsid w:val="00F818ED"/>
    <w:rsid w:val="00F83924"/>
    <w:rsid w:val="00F8562E"/>
    <w:rsid w:val="00F86024"/>
    <w:rsid w:val="00F8611A"/>
    <w:rsid w:val="00F86902"/>
    <w:rsid w:val="00F86FD7"/>
    <w:rsid w:val="00F87790"/>
    <w:rsid w:val="00F918C7"/>
    <w:rsid w:val="00F96429"/>
    <w:rsid w:val="00F973A2"/>
    <w:rsid w:val="00FA2100"/>
    <w:rsid w:val="00FA290C"/>
    <w:rsid w:val="00FA5128"/>
    <w:rsid w:val="00FA572A"/>
    <w:rsid w:val="00FB19F1"/>
    <w:rsid w:val="00FB42D4"/>
    <w:rsid w:val="00FB5906"/>
    <w:rsid w:val="00FB762F"/>
    <w:rsid w:val="00FC2AED"/>
    <w:rsid w:val="00FC4746"/>
    <w:rsid w:val="00FC749D"/>
    <w:rsid w:val="00FD4D37"/>
    <w:rsid w:val="00FD5EA7"/>
    <w:rsid w:val="00FD6604"/>
    <w:rsid w:val="00FE5E50"/>
    <w:rsid w:val="00FF464C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920C36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69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uiPriority w:val="99"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67426"/>
    <w:rPr>
      <w:color w:val="954F72" w:themeColor="followedHyperlink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697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paragraph" w:styleId="Tekstpodstawowy">
    <w:name w:val="Body Text"/>
    <w:basedOn w:val="Normalny"/>
    <w:link w:val="TekstpodstawowyZnak"/>
    <w:rsid w:val="008A697D"/>
    <w:pPr>
      <w:spacing w:before="0"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97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A6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2.xml"/><Relationship Id="rId18" Type="http://schemas.openxmlformats.org/officeDocument/2006/relationships/image" Target="media/image8.png"/><Relationship Id="rId26" Type="http://schemas.openxmlformats.org/officeDocument/2006/relationships/hyperlink" Target="https://stat.gov.pl/obszary-tematyczne/kultura-turystyka-sport/turystyka/turystyka-w-2018-roku,1,16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tat.gov.pl/obszary-tematyczne/kultura-turystyka-sport/turystyka/turystyka-w-2018-roku,1,16.html" TargetMode="External"/><Relationship Id="rId7" Type="http://schemas.openxmlformats.org/officeDocument/2006/relationships/webSettings" Target="webSettings.xml"/><Relationship Id="rId12" Type="http://schemas.openxmlformats.org/officeDocument/2006/relationships/chart" Target="charts/chart1.xml"/><Relationship Id="rId17" Type="http://schemas.openxmlformats.org/officeDocument/2006/relationships/footer" Target="footer2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10.png"/><Relationship Id="rId29" Type="http://schemas.openxmlformats.org/officeDocument/2006/relationships/hyperlink" Target="http://stat.gov.pl/metainformacje/slownik-pojec/pojecia-stosowane-w-statystyce-publicznej/723,pojecie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0.emf"/><Relationship Id="rId24" Type="http://schemas.openxmlformats.org/officeDocument/2006/relationships/hyperlink" Target="http://stat.gov.pl/metainformacje/slownik-pojec/pojecia-stosowane-w-statystyce-publicznej/723,pojecie.html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hyperlink" Target="http://stat.gov.pl/metainformacje/slownik-pojec/pojecia-stosowane-w-statystyce-publicznej/444,pojecie.html" TargetMode="External"/><Relationship Id="rId28" Type="http://schemas.openxmlformats.org/officeDocument/2006/relationships/hyperlink" Target="http://stat.gov.pl/metainformacje/slownik-pojec/pojecia-stosowane-w-statystyce-publicznej/444,pojecie.html" TargetMode="External"/><Relationship Id="rId10" Type="http://schemas.openxmlformats.org/officeDocument/2006/relationships/image" Target="media/image5.emf"/><Relationship Id="rId19" Type="http://schemas.openxmlformats.org/officeDocument/2006/relationships/image" Target="media/image9.png"/><Relationship Id="rId31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hyperlink" Target="https://stat.gov.pl/obszary-tematyczne/ceny-handel/handel/ruch-graniczny-oraz-wydatki-cudzoziemcow-w-polsce-i-polakow-za-granica-w-2018-roku,15,5.html" TargetMode="External"/><Relationship Id="rId27" Type="http://schemas.openxmlformats.org/officeDocument/2006/relationships/hyperlink" Target="https://stat.gov.pl/obszary-tematyczne/ceny-handel/handel/ruch-graniczny-oraz-wydatki-cudzoziemcow-w-polsce-i-polakow-za-granica-w-2018-roku,15,5.html" TargetMode="External"/><Relationship Id="rId3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0.emf"/><Relationship Id="rId2" Type="http://schemas.openxmlformats.org/officeDocument/2006/relationships/image" Target="media/image7.emf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w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vmfrze01\ote\==1.30.11%20RUCH%20GRANICZNY\=Sygnalna%20z%20ruchu%20I%20kw%202020\1ruch%20graniczny%20do%20sygnalnej%20wg%20miesi&#281;cy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vmfrze01\ote\==1.30.11%20RUCH%20GRANICZNY\Kopia%20ruch%20graniczny%20do%20sygnalnej%20wg%20miesi&#281;cy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115726159230097"/>
          <c:y val="0.13971921681347393"/>
          <c:w val="0.85828718285214345"/>
          <c:h val="0.6352200331617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'1'!$A$33</c:f>
              <c:strCache>
                <c:ptCount val="1"/>
                <c:pt idx="0">
                  <c:v>I kwartał 2019</c:v>
                </c:pt>
              </c:strCache>
            </c:strRef>
          </c:tx>
          <c:spPr>
            <a:solidFill>
              <a:srgbClr val="2C387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'1'!$B$32:$D$32</c:f>
              <c:strCache>
                <c:ptCount val="3"/>
                <c:pt idx="0">
                  <c:v>Rosją</c:v>
                </c:pt>
                <c:pt idx="1">
                  <c:v>Białorusią</c:v>
                </c:pt>
                <c:pt idx="2">
                  <c:v>Ukrainą</c:v>
                </c:pt>
              </c:strCache>
            </c:strRef>
          </c:cat>
          <c:val>
            <c:numRef>
              <c:f>'1'!$B$33:$D$33</c:f>
              <c:numCache>
                <c:formatCode>#,##0</c:formatCode>
                <c:ptCount val="3"/>
                <c:pt idx="0">
                  <c:v>794.803</c:v>
                </c:pt>
                <c:pt idx="1">
                  <c:v>1939.6410000000001</c:v>
                </c:pt>
                <c:pt idx="2">
                  <c:v>4656.3789999999999</c:v>
                </c:pt>
              </c:numCache>
            </c:numRef>
          </c:val>
        </c:ser>
        <c:ser>
          <c:idx val="1"/>
          <c:order val="1"/>
          <c:tx>
            <c:strRef>
              <c:f>'1'!$A$34</c:f>
              <c:strCache>
                <c:ptCount val="1"/>
                <c:pt idx="0">
                  <c:v>I kwartał 2020</c:v>
                </c:pt>
              </c:strCache>
            </c:strRef>
          </c:tx>
          <c:spPr>
            <a:solidFill>
              <a:srgbClr val="008C4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'1'!$B$32:$D$32</c:f>
              <c:strCache>
                <c:ptCount val="3"/>
                <c:pt idx="0">
                  <c:v>Rosją</c:v>
                </c:pt>
                <c:pt idx="1">
                  <c:v>Białorusią</c:v>
                </c:pt>
                <c:pt idx="2">
                  <c:v>Ukrainą</c:v>
                </c:pt>
              </c:strCache>
            </c:strRef>
          </c:cat>
          <c:val>
            <c:numRef>
              <c:f>'1'!$B$34:$D$34</c:f>
              <c:numCache>
                <c:formatCode>#,##0</c:formatCode>
                <c:ptCount val="3"/>
                <c:pt idx="0">
                  <c:v>636.88300000000004</c:v>
                </c:pt>
                <c:pt idx="1">
                  <c:v>1667.837</c:v>
                </c:pt>
                <c:pt idx="2">
                  <c:v>4102.6989999999996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18080144"/>
        <c:axId val="818081232"/>
      </c:barChart>
      <c:catAx>
        <c:axId val="818080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818081232"/>
        <c:crosses val="autoZero"/>
        <c:auto val="1"/>
        <c:lblAlgn val="ctr"/>
        <c:lblOffset val="100"/>
        <c:noMultiLvlLbl val="0"/>
      </c:catAx>
      <c:valAx>
        <c:axId val="818081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818080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7811926201714166"/>
          <c:y val="0.90000685580216699"/>
          <c:w val="0.44376147596571686"/>
          <c:h val="9.999314419783306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3136701662292209E-2"/>
          <c:y val="0.12930907381489118"/>
          <c:w val="0.87630774278215218"/>
          <c:h val="0.713861259201487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'2'!$A$18</c:f>
              <c:strCache>
                <c:ptCount val="1"/>
                <c:pt idx="0">
                  <c:v>styczeń</c:v>
                </c:pt>
              </c:strCache>
            </c:strRef>
          </c:tx>
          <c:spPr>
            <a:solidFill>
              <a:srgbClr val="2C387C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2C387C"/>
              </a:solidFill>
              <a:ln>
                <a:noFill/>
              </a:ln>
              <a:effectLst/>
            </c:spPr>
          </c:dPt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'2'!$B$17:$C$17</c:f>
              <c:strCache>
                <c:ptCount val="2"/>
                <c:pt idx="0">
                  <c:v>Cudzoziemcy</c:v>
                </c:pt>
                <c:pt idx="1">
                  <c:v>Polacy</c:v>
                </c:pt>
              </c:strCache>
            </c:strRef>
          </c:cat>
          <c:val>
            <c:numRef>
              <c:f>'2'!$B$18:$C$18</c:f>
              <c:numCache>
                <c:formatCode>0.0</c:formatCode>
                <c:ptCount val="2"/>
                <c:pt idx="0">
                  <c:v>11.788951302137377</c:v>
                </c:pt>
                <c:pt idx="1">
                  <c:v>0.47003739182041215</c:v>
                </c:pt>
              </c:numCache>
            </c:numRef>
          </c:val>
        </c:ser>
        <c:ser>
          <c:idx val="1"/>
          <c:order val="1"/>
          <c:tx>
            <c:strRef>
              <c:f>'2'!$A$19</c:f>
              <c:strCache>
                <c:ptCount val="1"/>
                <c:pt idx="0">
                  <c:v>luty</c:v>
                </c:pt>
              </c:strCache>
            </c:strRef>
          </c:tx>
          <c:spPr>
            <a:solidFill>
              <a:srgbClr val="008C43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4.47303003603104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'2'!$B$17:$C$17</c:f>
              <c:strCache>
                <c:ptCount val="2"/>
                <c:pt idx="0">
                  <c:v>Cudzoziemcy</c:v>
                </c:pt>
                <c:pt idx="1">
                  <c:v>Polacy</c:v>
                </c:pt>
              </c:strCache>
            </c:strRef>
          </c:cat>
          <c:val>
            <c:numRef>
              <c:f>'2'!$B$19:$C$19</c:f>
              <c:numCache>
                <c:formatCode>0.0</c:formatCode>
                <c:ptCount val="2"/>
                <c:pt idx="0">
                  <c:v>8.2860059161336039</c:v>
                </c:pt>
                <c:pt idx="1">
                  <c:v>-4.2294896425443227</c:v>
                </c:pt>
              </c:numCache>
            </c:numRef>
          </c:val>
        </c:ser>
        <c:ser>
          <c:idx val="2"/>
          <c:order val="2"/>
          <c:tx>
            <c:strRef>
              <c:f>'2'!$A$20</c:f>
              <c:strCache>
                <c:ptCount val="1"/>
                <c:pt idx="0">
                  <c:v>marzec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'2'!$B$17:$C$17</c:f>
              <c:strCache>
                <c:ptCount val="2"/>
                <c:pt idx="0">
                  <c:v>Cudzoziemcy</c:v>
                </c:pt>
                <c:pt idx="1">
                  <c:v>Polacy</c:v>
                </c:pt>
              </c:strCache>
            </c:strRef>
          </c:cat>
          <c:val>
            <c:numRef>
              <c:f>'2'!$B$20:$C$20</c:f>
              <c:numCache>
                <c:formatCode>0.0</c:formatCode>
                <c:ptCount val="2"/>
                <c:pt idx="0">
                  <c:v>-50.510742554807173</c:v>
                </c:pt>
                <c:pt idx="1">
                  <c:v>-59.922016118386104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18081776"/>
        <c:axId val="818083408"/>
      </c:barChart>
      <c:catAx>
        <c:axId val="818081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818083408"/>
        <c:crosses val="autoZero"/>
        <c:auto val="1"/>
        <c:lblAlgn val="ctr"/>
        <c:lblOffset val="100"/>
        <c:noMultiLvlLbl val="0"/>
      </c:catAx>
      <c:valAx>
        <c:axId val="818083408"/>
        <c:scaling>
          <c:orientation val="minMax"/>
          <c:min val="-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818081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0.01463</cdr:x>
      <cdr:y>0</cdr:y>
    </cdr:from>
    <cdr:to>
      <cdr:x>0.09003</cdr:x>
      <cdr:y>0.07853</cdr:y>
    </cdr:to>
    <cdr:sp macro="" textlink="">
      <cdr:nvSpPr>
        <cdr:cNvPr id="3" name="pole tekstowe 3"/>
        <cdr:cNvSpPr txBox="1"/>
      </cdr:nvSpPr>
      <cdr:spPr>
        <a:xfrm xmlns:a="http://schemas.openxmlformats.org/drawingml/2006/main">
          <a:off x="59008" y="-4244454"/>
          <a:ext cx="304079" cy="154636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>
              <a:latin typeface="Fira Sans" panose="020B0503050000020004" pitchFamily="34" charset="0"/>
              <a:ea typeface="Fira Sans" panose="020B0503050000020004" pitchFamily="34" charset="0"/>
            </a:rPr>
            <a:t>tys.</a:t>
          </a:r>
        </a:p>
      </cdr:txBody>
    </cdr:sp>
  </cdr:relSizeAnchor>
  <cdr:relSizeAnchor xmlns:cdr="http://schemas.openxmlformats.org/drawingml/2006/chartDrawing">
    <cdr:from>
      <cdr:x>0</cdr:x>
      <cdr:y>0.78341</cdr:y>
    </cdr:from>
    <cdr:to>
      <cdr:x>0.22674</cdr:x>
      <cdr:y>0.89885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0" y="1542638"/>
          <a:ext cx="914400" cy="22731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pl-PL" sz="800">
              <a:latin typeface="Fira Sans" panose="020B0503050000020004" pitchFamily="34" charset="0"/>
              <a:ea typeface="Fira Sans" panose="020B0503050000020004" pitchFamily="34" charset="0"/>
            </a:rPr>
            <a:t>Granica z: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0.01237</cdr:x>
      <cdr:y>0</cdr:y>
    </cdr:from>
    <cdr:to>
      <cdr:x>0.06654</cdr:x>
      <cdr:y>0.0848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50138" y="-8356600"/>
          <a:ext cx="219562" cy="158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800">
              <a:latin typeface="Fira Sans" panose="020B0503050000020004" pitchFamily="34" charset="0"/>
              <a:ea typeface="Fira Sans" panose="020B0503050000020004" pitchFamily="34" charset="0"/>
            </a:rPr>
            <a:t>%</a:t>
          </a:r>
        </a:p>
      </cdr:txBody>
    </cdr:sp>
  </cdr:relSizeAnchor>
  <cdr:relSizeAnchor xmlns:cdr="http://schemas.openxmlformats.org/drawingml/2006/chartDrawing">
    <cdr:from>
      <cdr:x>0.52997</cdr:x>
      <cdr:y>0.1116</cdr:y>
    </cdr:from>
    <cdr:to>
      <cdr:x>0.52997</cdr:x>
      <cdr:y>0.843</cdr:y>
    </cdr:to>
    <cdr:cxnSp macro="">
      <cdr:nvCxnSpPr>
        <cdr:cNvPr id="4" name="Łącznik prosty 3"/>
        <cdr:cNvCxnSpPr/>
      </cdr:nvCxnSpPr>
      <cdr:spPr>
        <a:xfrm xmlns:a="http://schemas.openxmlformats.org/drawingml/2006/main">
          <a:off x="2148072" y="241445"/>
          <a:ext cx="0" cy="1582331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bg1">
              <a:lumMod val="50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NazwaPliku xmlns="8C029B3F-2CC4-4A59-AF0D-A90575FA3373">Informacja sygnalna_ruch_graniczny z US w Rzeszowie.docx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STAT\zadoroznyl</Osoba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E1803-CD96-4D4B-9833-5B490D3EA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1150F9-42FE-4E0A-83C4-93BD4F8EEA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3.xml><?xml version="1.0" encoding="utf-8"?>
<ds:datastoreItem xmlns:ds="http://schemas.openxmlformats.org/officeDocument/2006/customXml" ds:itemID="{7AC286AA-8D4D-4CE9-BE03-75ABD8B29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2020-04-27T08:19:00Z</cp:lastPrinted>
  <dcterms:created xsi:type="dcterms:W3CDTF">2020-04-27T08:10:00Z</dcterms:created>
  <dcterms:modified xsi:type="dcterms:W3CDTF">2020-04-28T06:19:00Z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  <property fmtid="{D5CDD505-2E9C-101B-9397-08002B2CF9AE}" pid="3" name="ZnakPisma">
    <vt:lpwstr>RZE-OST.6362.5.2020.1</vt:lpwstr>
  </property>
  <property fmtid="{D5CDD505-2E9C-101B-9397-08002B2CF9AE}" pid="4" name="UNPPisma">
    <vt:lpwstr>2020-77688</vt:lpwstr>
  </property>
  <property fmtid="{D5CDD505-2E9C-101B-9397-08002B2CF9AE}" pid="5" name="ZnakSprawy">
    <vt:lpwstr>RZE-OST.6362.5.2020</vt:lpwstr>
  </property>
  <property fmtid="{D5CDD505-2E9C-101B-9397-08002B2CF9AE}" pid="6" name="ZnakSprawyPrzedPrzeniesieniem">
    <vt:lpwstr/>
  </property>
  <property fmtid="{D5CDD505-2E9C-101B-9397-08002B2CF9AE}" pid="7" name="Autor">
    <vt:lpwstr>Zadorożny Łukasz</vt:lpwstr>
  </property>
  <property fmtid="{D5CDD505-2E9C-101B-9397-08002B2CF9AE}" pid="8" name="AutorInicjaly">
    <vt:lpwstr>ŁZ</vt:lpwstr>
  </property>
  <property fmtid="{D5CDD505-2E9C-101B-9397-08002B2CF9AE}" pid="9" name="AutorNrTelefonu">
    <vt:lpwstr>178535210 w. 216</vt:lpwstr>
  </property>
  <property fmtid="{D5CDD505-2E9C-101B-9397-08002B2CF9AE}" pid="10" name="Stanowisko">
    <vt:lpwstr>p.o. kierownika wydziału</vt:lpwstr>
  </property>
  <property fmtid="{D5CDD505-2E9C-101B-9397-08002B2CF9AE}" pid="11" name="OpisPisma">
    <vt:lpwstr>Notatka sygnalna</vt:lpwstr>
  </property>
  <property fmtid="{D5CDD505-2E9C-101B-9397-08002B2CF9AE}" pid="12" name="Komorka">
    <vt:lpwstr>Dyrektor US Rzeszów</vt:lpwstr>
  </property>
  <property fmtid="{D5CDD505-2E9C-101B-9397-08002B2CF9AE}" pid="13" name="KodKomorki">
    <vt:lpwstr>DYR-RZE</vt:lpwstr>
  </property>
  <property fmtid="{D5CDD505-2E9C-101B-9397-08002B2CF9AE}" pid="14" name="AktualnaData">
    <vt:lpwstr>2020-04-27</vt:lpwstr>
  </property>
  <property fmtid="{D5CDD505-2E9C-101B-9397-08002B2CF9AE}" pid="15" name="Wydzial">
    <vt:lpwstr>Ośrodek Statystyki Sportu i Turystyki</vt:lpwstr>
  </property>
  <property fmtid="{D5CDD505-2E9C-101B-9397-08002B2CF9AE}" pid="16" name="KodWydzialu">
    <vt:lpwstr>OST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GŁÓWNY URZĄD STATYSTYCZNY</vt:lpwstr>
  </property>
  <property fmtid="{D5CDD505-2E9C-101B-9397-08002B2CF9AE}" pid="25" name="adresOddzial">
    <vt:lpwstr/>
  </property>
  <property fmtid="{D5CDD505-2E9C-101B-9397-08002B2CF9AE}" pid="26" name="adresUlica">
    <vt:lpwstr>NIEPODLEGŁOŚCI AL.</vt:lpwstr>
  </property>
  <property fmtid="{D5CDD505-2E9C-101B-9397-08002B2CF9AE}" pid="27" name="adresTypUlicy">
    <vt:lpwstr>al.</vt:lpwstr>
  </property>
  <property fmtid="{D5CDD505-2E9C-101B-9397-08002B2CF9AE}" pid="28" name="adresNrDomu">
    <vt:lpwstr>208</vt:lpwstr>
  </property>
  <property fmtid="{D5CDD505-2E9C-101B-9397-08002B2CF9AE}" pid="29" name="adresNrLokalu">
    <vt:lpwstr/>
  </property>
  <property fmtid="{D5CDD505-2E9C-101B-9397-08002B2CF9AE}" pid="30" name="adresKodPocztowy">
    <vt:lpwstr>00-925</vt:lpwstr>
  </property>
  <property fmtid="{D5CDD505-2E9C-101B-9397-08002B2CF9AE}" pid="31" name="adresMiejscowosc">
    <vt:lpwstr>WARSZAWA (ŚRÓDMIEŚCIE)</vt:lpwstr>
  </property>
  <property fmtid="{D5CDD505-2E9C-101B-9397-08002B2CF9AE}" pid="32" name="adresPoczta">
    <vt:lpwstr/>
  </property>
  <property fmtid="{D5CDD505-2E9C-101B-9397-08002B2CF9AE}" pid="33" name="adresEMail">
    <vt:lpwstr>dane@stat.gov.pl</vt:lpwstr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