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4A4C92" w14:textId="6F7FA969" w:rsidR="00021B0E" w:rsidRPr="00021B0E" w:rsidRDefault="0095331D" w:rsidP="00021B0E">
      <w:pPr>
        <w:pStyle w:val="tytuinformacji"/>
        <w:rPr>
          <w:b/>
          <w:shd w:val="clear" w:color="auto" w:fill="FFFFFF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AA5067" wp14:editId="787BEEA0">
                <wp:simplePos x="0" y="0"/>
                <wp:positionH relativeFrom="page">
                  <wp:posOffset>5499735</wp:posOffset>
                </wp:positionH>
                <wp:positionV relativeFrom="paragraph">
                  <wp:posOffset>-205105</wp:posOffset>
                </wp:positionV>
                <wp:extent cx="2060575" cy="357505"/>
                <wp:effectExtent l="0" t="0" r="0" b="4445"/>
                <wp:wrapNone/>
                <wp:docPr id="20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88EEA" w14:textId="77777777" w:rsidR="0095331D" w:rsidRPr="003C6C8D" w:rsidRDefault="0095331D" w:rsidP="0095331D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5067" id="Schemat blokowy: opóźnienie 6" o:spid="_x0000_s1026" style="position:absolute;margin-left:433.05pt;margin-top:-16.15pt;width:162.25pt;height:28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BOQYAAAs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14:paraId="14F88EEA" w14:textId="77777777" w:rsidR="0095331D" w:rsidRPr="003C6C8D" w:rsidRDefault="0095331D" w:rsidP="0095331D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B0E" w:rsidRPr="00021B0E">
        <w:rPr>
          <w:b/>
          <w:shd w:val="clear" w:color="auto" w:fill="FFFFFF"/>
        </w:rPr>
        <w:t>Efektywność wykorzystania energii</w:t>
      </w:r>
    </w:p>
    <w:p w14:paraId="42686C28" w14:textId="0F93063A" w:rsidR="00021B0E" w:rsidRDefault="0095331D" w:rsidP="00021B0E">
      <w:pPr>
        <w:pStyle w:val="tytuinformacji"/>
        <w:rPr>
          <w:b/>
          <w:shd w:val="clear" w:color="auto" w:fill="FFFFFF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0E445759" wp14:editId="5FB997D7">
                <wp:simplePos x="0" y="0"/>
                <wp:positionH relativeFrom="column">
                  <wp:posOffset>5243746</wp:posOffset>
                </wp:positionH>
                <wp:positionV relativeFrom="paragraph">
                  <wp:posOffset>83820</wp:posOffset>
                </wp:positionV>
                <wp:extent cx="1594427" cy="1216025"/>
                <wp:effectExtent l="0" t="0" r="0" b="3175"/>
                <wp:wrapTight wrapText="bothSides">
                  <wp:wrapPolygon edited="0">
                    <wp:start x="775" y="0"/>
                    <wp:lineTo x="775" y="21318"/>
                    <wp:lineTo x="20653" y="21318"/>
                    <wp:lineTo x="20653" y="0"/>
                    <wp:lineTo x="77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27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86AE" w14:textId="79031F3F" w:rsidR="0095331D" w:rsidRPr="0095331D" w:rsidRDefault="0095331D" w:rsidP="0095331D">
                            <w:pPr>
                              <w:pStyle w:val="tekstzboku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5331D">
                              <w:rPr>
                                <w:b/>
                                <w:sz w:val="19"/>
                                <w:szCs w:val="19"/>
                              </w:rPr>
                              <w:t>15.06.2018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57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12.9pt;margin-top:6.6pt;width:125.55pt;height:95.7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" filled="f" stroked="f">
                <v:textbox>
                  <w:txbxContent>
                    <w:p w14:paraId="6A4A86AE" w14:textId="79031F3F" w:rsidR="0095331D" w:rsidRPr="0095331D" w:rsidRDefault="0095331D" w:rsidP="0095331D">
                      <w:pPr>
                        <w:pStyle w:val="tekstzboku"/>
                        <w:rPr>
                          <w:b/>
                          <w:sz w:val="19"/>
                          <w:szCs w:val="19"/>
                        </w:rPr>
                      </w:pPr>
                      <w:r w:rsidRPr="0095331D">
                        <w:rPr>
                          <w:b/>
                          <w:sz w:val="19"/>
                          <w:szCs w:val="19"/>
                        </w:rPr>
                        <w:t>15.06.2018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1B0E" w:rsidRPr="00021B0E">
        <w:rPr>
          <w:b/>
          <w:shd w:val="clear" w:color="auto" w:fill="FFFFFF"/>
        </w:rPr>
        <w:t>w latach 2006-2016</w:t>
      </w:r>
    </w:p>
    <w:p w14:paraId="3B0A22AF" w14:textId="3F62C2D1" w:rsidR="00393761" w:rsidRPr="00001C5B" w:rsidRDefault="00393761" w:rsidP="00021B0E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426E4F3" wp14:editId="732A1AE3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CFCD" w14:textId="08122927" w:rsidR="007A2DC1" w:rsidRPr="00C275DE" w:rsidRDefault="009400A8" w:rsidP="00074DD8">
                            <w:pPr>
                              <w:pStyle w:val="tekstzboku"/>
                            </w:pPr>
                            <w:r>
                              <w:t xml:space="preserve">W latach 2006-2016 </w:t>
                            </w:r>
                            <w:r w:rsidR="00D33134">
                              <w:t>–</w:t>
                            </w:r>
                            <w:r w:rsidR="0058409F">
                              <w:t xml:space="preserve"> </w:t>
                            </w:r>
                            <w:r w:rsidR="00D33134">
                              <w:t>poprawa efektywności energetycznej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E4F3" id="_x0000_s1028" type="#_x0000_t202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" filled="f" stroked="f">
                <v:textbox>
                  <w:txbxContent>
                    <w:p w14:paraId="366DCFCD" w14:textId="08122927" w:rsidR="007A2DC1" w:rsidRPr="00C275DE" w:rsidRDefault="009400A8" w:rsidP="00074DD8">
                      <w:pPr>
                        <w:pStyle w:val="tekstzboku"/>
                      </w:pPr>
                      <w:r>
                        <w:t xml:space="preserve">W latach 2006-2016 </w:t>
                      </w:r>
                      <w:r w:rsidR="00D33134">
                        <w:t>–</w:t>
                      </w:r>
                      <w:r w:rsidR="0058409F">
                        <w:t xml:space="preserve"> </w:t>
                      </w:r>
                      <w:r w:rsidR="00D33134">
                        <w:t>poprawa efektywności energetycznej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E1597C" w14:textId="2F19A82B" w:rsidR="002D0E0C" w:rsidRDefault="006B3384" w:rsidP="00021B0E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15663C9" wp14:editId="5A3EF075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2BE4" w14:textId="77777777"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3919CDC" wp14:editId="143B8BDA">
                                  <wp:extent cx="336550" cy="336550"/>
                                  <wp:effectExtent l="0" t="0" r="6350" b="635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21B0E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021B0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0,8%</w:t>
                            </w:r>
                          </w:p>
                          <w:p w14:paraId="08C1A6F8" w14:textId="77777777" w:rsidR="002D0E0C" w:rsidRPr="00C512EE" w:rsidRDefault="00021B0E" w:rsidP="00021B0E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pl-PL"/>
                              </w:rPr>
                              <w:t>Roczne tempo wzrostu efektywności energetycznej w Polsce w latach 2006-2016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63C9" id="_x0000_s1029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" fillcolor="#001d77" stroked="f">
                <v:textbox>
                  <w:txbxContent>
                    <w:p w14:paraId="2F952BE4" w14:textId="77777777"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3919CDC" wp14:editId="143B8BDA">
                            <wp:extent cx="336550" cy="336550"/>
                            <wp:effectExtent l="0" t="0" r="6350" b="635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21B0E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021B0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0,8%</w:t>
                      </w:r>
                    </w:p>
                    <w:p w14:paraId="08C1A6F8" w14:textId="77777777" w:rsidR="002D0E0C" w:rsidRPr="00C512EE" w:rsidRDefault="00021B0E" w:rsidP="00021B0E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lang w:eastAsia="pl-PL"/>
                        </w:rPr>
                        <w:t>Roczne tempo wzrostu efektywności energetycznej w Polsce w latach 2006-2016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9B9B8F" wp14:editId="5BAB9BB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8054" w14:textId="77777777" w:rsidR="00933EC1" w:rsidRPr="00B66B19" w:rsidRDefault="0002682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4B70DB33">
                                <v:shape id="Obraz 33" o:spid="_x0000_i1025" type="#_x0000_t75" style="width:28.5pt;height:28.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14:paraId="44E1CEDD" w14:textId="77777777"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14:paraId="25C9BE8B" w14:textId="77777777"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9B8F" id="_x0000_s1030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Nvmvz0rAgAAKgQAAA4AAAAAAAAAAAAAAAAALgIAAGRycy9l&#10;Mm9Eb2MueG1sUEsBAi0AFAAGAAgAAAAhAJ+CSkvdAAAABwEAAA8AAAAAAAAAAAAAAAAAhQQAAGRy&#10;cy9kb3ducmV2LnhtbFBLBQYAAAAABAAEAPMAAACPBQAAAAA=&#10;" fillcolor="#001d77" stroked="f">
                <v:textbox>
                  <w:txbxContent>
                    <w:p w14:paraId="13628054" w14:textId="77777777" w:rsidR="00933EC1" w:rsidRPr="00B66B19" w:rsidRDefault="000529A0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4B70DB33">
                          <v:shape id="Obraz 33" o:spid="_x0000_i1025" type="#_x0000_t75" style="width:28.55pt;height:28.5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14:paraId="44E1CEDD" w14:textId="77777777"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14:paraId="25C9BE8B" w14:textId="77777777"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0E" w:rsidRPr="00021B0E">
        <w:t xml:space="preserve">W Polsce w latach 2006-2016 nastąpiła poprawa efektywności energetycznej. Energochłonność pierwotna obniżała się w tym okresie średnio o ponad 3% rocznie, </w:t>
      </w:r>
      <w:r w:rsidR="0058409F">
        <w:t xml:space="preserve">a </w:t>
      </w:r>
      <w:r w:rsidR="00021B0E" w:rsidRPr="00021B0E">
        <w:t>energochłonność finalna o ponad 2%</w:t>
      </w:r>
      <w:r w:rsidR="0058409F">
        <w:t>.</w:t>
      </w:r>
      <w:r w:rsidR="00021B0E" w:rsidRPr="00021B0E">
        <w:t xml:space="preserve"> Najszybsze tempo poprawy efektywności energetycznej odnotowano w </w:t>
      </w:r>
      <w:r w:rsidR="0058409F">
        <w:t>przemyśle</w:t>
      </w:r>
      <w:r w:rsidR="00021B0E" w:rsidRPr="00021B0E">
        <w:t xml:space="preserve">. W 2016 roku </w:t>
      </w:r>
      <w:r w:rsidR="0058409F">
        <w:t>zaobserwowano</w:t>
      </w:r>
      <w:r w:rsidR="00021B0E" w:rsidRPr="00021B0E">
        <w:t xml:space="preserve"> </w:t>
      </w:r>
      <w:r w:rsidR="0058409F">
        <w:t>spowolnienie</w:t>
      </w:r>
      <w:r w:rsidR="00021B0E" w:rsidRPr="00021B0E">
        <w:t xml:space="preserve"> tempa poprawy efektywności wykorzystania energii.</w:t>
      </w:r>
    </w:p>
    <w:p w14:paraId="28292C64" w14:textId="77777777" w:rsidR="00EA60EE" w:rsidRPr="00EA60EE" w:rsidRDefault="00EA60EE" w:rsidP="00021B0E">
      <w:pPr>
        <w:pStyle w:val="LID"/>
        <w:spacing w:before="0" w:after="0"/>
        <w:jc w:val="both"/>
        <w:rPr>
          <w:b w:val="0"/>
        </w:rPr>
      </w:pPr>
    </w:p>
    <w:p w14:paraId="7632AF94" w14:textId="7DACAC1F" w:rsidR="006C739F" w:rsidRDefault="00192D3F" w:rsidP="00A41DEF">
      <w:pPr>
        <w:jc w:val="both"/>
        <w:rPr>
          <w:rFonts w:ascii="Fira Sans SemiBold" w:hAnsi="Fira Sans SemiBold"/>
          <w:color w:val="001D77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1824C84" wp14:editId="7A2D178D">
                <wp:simplePos x="0" y="0"/>
                <wp:positionH relativeFrom="column">
                  <wp:posOffset>5212080</wp:posOffset>
                </wp:positionH>
                <wp:positionV relativeFrom="paragraph">
                  <wp:posOffset>186319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FABE" w14:textId="117413FC" w:rsidR="0045393B" w:rsidRPr="00E966AB" w:rsidRDefault="00021B0E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Całkowite zużycie energii pierwotnej w latach 2006-2016 </w:t>
                            </w:r>
                            <w:r w:rsidR="005C18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wzrosło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0,2% rocznie</w:t>
                            </w:r>
                          </w:p>
                          <w:p w14:paraId="7286180C" w14:textId="77777777" w:rsidR="00EA2A04" w:rsidRPr="00E94EC2" w:rsidRDefault="00EA2A04" w:rsidP="00E94EC2">
                            <w:pPr>
                              <w:spacing w:before="0" w:after="0" w:line="160" w:lineRule="exact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14:paraId="7338EC29" w14:textId="453A06D4" w:rsidR="00D616D2" w:rsidRPr="00D616D2" w:rsidRDefault="00021B0E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Finalne zużycie energii w latach 2</w:t>
                            </w:r>
                            <w:r w:rsidR="00D331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006-2016 wzrosło o 0,8% rocznie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4C84" id="_x0000_s1031" type="#_x0000_t202" style="position:absolute;left:0;text-align:left;margin-left:410.4pt;margin-top:14.65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" filled="f" stroked="f">
                <v:textbox>
                  <w:txbxContent>
                    <w:p w14:paraId="4F1EFABE" w14:textId="117413FC" w:rsidR="0045393B" w:rsidRPr="00E966AB" w:rsidRDefault="00021B0E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Całkowite zużycie energii pierwotnej w latach 2006-2016 </w:t>
                      </w:r>
                      <w:r w:rsidR="005C18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wzrosło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0,2% rocznie</w:t>
                      </w:r>
                    </w:p>
                    <w:p w14:paraId="7286180C" w14:textId="77777777" w:rsidR="00EA2A04" w:rsidRPr="00E94EC2" w:rsidRDefault="00EA2A04" w:rsidP="00E94EC2">
                      <w:pPr>
                        <w:spacing w:before="0" w:after="0" w:line="160" w:lineRule="exact"/>
                        <w:rPr>
                          <w:rFonts w:eastAsia="Times New Roman" w:cs="Times New Roman"/>
                          <w:bCs/>
                          <w:color w:val="001D77"/>
                          <w:sz w:val="8"/>
                          <w:szCs w:val="8"/>
                          <w:lang w:eastAsia="pl-PL"/>
                        </w:rPr>
                      </w:pPr>
                    </w:p>
                    <w:p w14:paraId="7338EC29" w14:textId="453A06D4" w:rsidR="00D616D2" w:rsidRPr="00D616D2" w:rsidRDefault="00021B0E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Finalne zużycie energii w latach 2</w:t>
                      </w:r>
                      <w:r w:rsidR="00D331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006-2016 wzrosło o 0,8% rocznie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21D8CE" w14:textId="09D2F925" w:rsidR="00021B0E" w:rsidRPr="00390BF5" w:rsidRDefault="00021B0E" w:rsidP="00021B0E">
      <w:pPr>
        <w:jc w:val="both"/>
      </w:pPr>
      <w:r w:rsidRPr="00021B0E">
        <w:rPr>
          <w:b/>
        </w:rPr>
        <w:t>Całkowite zużycie energii pierwotnej</w:t>
      </w:r>
      <w:r w:rsidRPr="00390BF5">
        <w:t xml:space="preserve"> wzrosło w latach </w:t>
      </w:r>
      <w:r w:rsidRPr="005C18BD">
        <w:t>2006-2016</w:t>
      </w:r>
      <w:r w:rsidRPr="00390BF5">
        <w:t xml:space="preserve"> z 97 </w:t>
      </w:r>
      <w:proofErr w:type="spellStart"/>
      <w:r w:rsidRPr="00390BF5">
        <w:t>Mtoe</w:t>
      </w:r>
      <w:proofErr w:type="spellEnd"/>
      <w:r w:rsidRPr="00390BF5">
        <w:t xml:space="preserve"> do 99 </w:t>
      </w:r>
      <w:proofErr w:type="spellStart"/>
      <w:r w:rsidRPr="00390BF5">
        <w:t>Mtoe</w:t>
      </w:r>
      <w:proofErr w:type="spellEnd"/>
      <w:r w:rsidRPr="00390BF5">
        <w:t xml:space="preserve"> (0,2 %/rok). Zużycie </w:t>
      </w:r>
      <w:r w:rsidR="005C18BD">
        <w:t xml:space="preserve">osiągnęło </w:t>
      </w:r>
      <w:r w:rsidRPr="00390BF5">
        <w:t xml:space="preserve">najwyższą wartość w </w:t>
      </w:r>
      <w:r w:rsidR="005C18BD">
        <w:t xml:space="preserve">2011 r. i wyniosło </w:t>
      </w:r>
      <w:r w:rsidRPr="005C18BD">
        <w:t xml:space="preserve">101,5 </w:t>
      </w:r>
      <w:proofErr w:type="spellStart"/>
      <w:r w:rsidRPr="005C18BD">
        <w:t>Mtoe</w:t>
      </w:r>
      <w:proofErr w:type="spellEnd"/>
      <w:r w:rsidR="005C18BD">
        <w:t>.</w:t>
      </w:r>
      <w:r w:rsidRPr="00390BF5">
        <w:t xml:space="preserve"> Najniższ</w:t>
      </w:r>
      <w:r w:rsidR="005C18BD">
        <w:t>ą</w:t>
      </w:r>
      <w:r w:rsidRPr="00390BF5">
        <w:t xml:space="preserve"> wielkość zużycia </w:t>
      </w:r>
      <w:r w:rsidR="005C18BD">
        <w:t xml:space="preserve">zaobserwowano </w:t>
      </w:r>
      <w:r w:rsidRPr="00390BF5">
        <w:t xml:space="preserve">w 2014 r. (93,8 </w:t>
      </w:r>
      <w:proofErr w:type="spellStart"/>
      <w:r w:rsidRPr="00390BF5">
        <w:t>Mtoe</w:t>
      </w:r>
      <w:proofErr w:type="spellEnd"/>
      <w:r w:rsidRPr="00390BF5">
        <w:t>).</w:t>
      </w:r>
    </w:p>
    <w:p w14:paraId="68875FF4" w14:textId="68DE8BA3" w:rsidR="00021B0E" w:rsidRDefault="00021B0E" w:rsidP="00021B0E">
      <w:pPr>
        <w:jc w:val="both"/>
      </w:pPr>
      <w:r w:rsidRPr="00021B0E">
        <w:rPr>
          <w:b/>
        </w:rPr>
        <w:t>Finalne zużycie</w:t>
      </w:r>
      <w:r w:rsidRPr="00390BF5">
        <w:t xml:space="preserve"> </w:t>
      </w:r>
      <w:r w:rsidRPr="00021B0E">
        <w:rPr>
          <w:b/>
        </w:rPr>
        <w:t>energii</w:t>
      </w:r>
      <w:r w:rsidRPr="00390BF5">
        <w:t xml:space="preserve"> wzrosło w </w:t>
      </w:r>
      <w:r w:rsidR="008E32A6">
        <w:t xml:space="preserve">analizowanym </w:t>
      </w:r>
      <w:r w:rsidRPr="00390BF5">
        <w:t xml:space="preserve">okresie z 61 do 65 </w:t>
      </w:r>
      <w:proofErr w:type="spellStart"/>
      <w:r w:rsidRPr="00390BF5">
        <w:t>Mtoe</w:t>
      </w:r>
      <w:proofErr w:type="spellEnd"/>
      <w:r w:rsidRPr="00390BF5">
        <w:t xml:space="preserve">, co oznacza średnie roczne tempo wzrostu 0,8%. </w:t>
      </w:r>
    </w:p>
    <w:p w14:paraId="2C78FD11" w14:textId="77777777" w:rsidR="00746187" w:rsidRPr="001055A7" w:rsidRDefault="00746187" w:rsidP="00E76D26">
      <w:pPr>
        <w:rPr>
          <w:b/>
          <w:spacing w:val="-2"/>
          <w:sz w:val="18"/>
        </w:rPr>
      </w:pPr>
    </w:p>
    <w:p w14:paraId="38913E75" w14:textId="77777777" w:rsidR="00DE553B" w:rsidRPr="006C739F" w:rsidRDefault="00FB5906" w:rsidP="00074DD8">
      <w:pPr>
        <w:pStyle w:val="tytuwykresu"/>
        <w:rPr>
          <w:highlight w:val="yellow"/>
          <w:shd w:val="clear" w:color="auto" w:fill="FFFFFF"/>
        </w:rPr>
      </w:pPr>
      <w:r w:rsidRPr="00E3795E">
        <w:t xml:space="preserve">Wykres </w:t>
      </w:r>
      <w:r w:rsidR="00074DD8" w:rsidRPr="00E3795E">
        <w:t>1</w:t>
      </w:r>
      <w:r w:rsidR="003A405E" w:rsidRPr="00E3795E">
        <w:t>.</w:t>
      </w:r>
      <w:r w:rsidR="00074DD8" w:rsidRPr="00E3795E">
        <w:rPr>
          <w:shd w:val="clear" w:color="auto" w:fill="FFFFFF"/>
        </w:rPr>
        <w:t xml:space="preserve"> </w:t>
      </w:r>
      <w:r w:rsidR="006C739F" w:rsidRPr="006C739F">
        <w:rPr>
          <w:shd w:val="clear" w:color="auto" w:fill="FFFFFF"/>
        </w:rPr>
        <w:t>Całkowite zużycie energii pierwotnej i finalne zużycie energii</w:t>
      </w:r>
    </w:p>
    <w:p w14:paraId="3715DAB5" w14:textId="77777777" w:rsidR="00D674E0" w:rsidRDefault="00FB6AFD" w:rsidP="00074DD8">
      <w:pPr>
        <w:pStyle w:val="tytuwykresu"/>
      </w:pPr>
      <w:r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61664" behindDoc="0" locked="0" layoutInCell="1" allowOverlap="1" wp14:anchorId="487FAAEE" wp14:editId="45BACABE">
            <wp:simplePos x="0" y="0"/>
            <wp:positionH relativeFrom="column">
              <wp:posOffset>-52070</wp:posOffset>
            </wp:positionH>
            <wp:positionV relativeFrom="paragraph">
              <wp:posOffset>232410</wp:posOffset>
            </wp:positionV>
            <wp:extent cx="5177790" cy="3571875"/>
            <wp:effectExtent l="0" t="0" r="381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4212D" w14:textId="77777777" w:rsidR="00FA374B" w:rsidRDefault="00FA374B" w:rsidP="00D674E0">
      <w:pPr>
        <w:rPr>
          <w:i/>
          <w:sz w:val="16"/>
          <w:szCs w:val="16"/>
          <w:vertAlign w:val="superscript"/>
        </w:rPr>
      </w:pPr>
    </w:p>
    <w:p w14:paraId="65287A3F" w14:textId="73E0CBB2" w:rsidR="00021B0E" w:rsidRPr="008E32A6" w:rsidRDefault="00DE553B" w:rsidP="008E32A6">
      <w:pPr>
        <w:pStyle w:val="Nagwek1"/>
        <w:rPr>
          <w:rFonts w:ascii="Fira Sans" w:hAnsi="Fira Sans"/>
          <w:szCs w:val="19"/>
        </w:rPr>
      </w:pPr>
      <w:r w:rsidRPr="008E32A6">
        <w:rPr>
          <w:rFonts w:ascii="Fira Sans" w:hAnsi="Fira Sans"/>
          <w:b/>
          <w:noProof/>
          <w:color w:val="auto"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D479CC3" wp14:editId="23344A45">
                <wp:simplePos x="0" y="0"/>
                <wp:positionH relativeFrom="column">
                  <wp:posOffset>5210175</wp:posOffset>
                </wp:positionH>
                <wp:positionV relativeFrom="paragraph">
                  <wp:posOffset>0</wp:posOffset>
                </wp:positionV>
                <wp:extent cx="1796415" cy="1546860"/>
                <wp:effectExtent l="0" t="0" r="0" b="0"/>
                <wp:wrapTight wrapText="bothSides">
                  <wp:wrapPolygon edited="0">
                    <wp:start x="687" y="0"/>
                    <wp:lineTo x="687" y="21281"/>
                    <wp:lineTo x="20844" y="21281"/>
                    <wp:lineTo x="20844" y="0"/>
                    <wp:lineTo x="687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C08C" w14:textId="164EC5F5" w:rsidR="001D3476" w:rsidRDefault="007F4108" w:rsidP="0069791B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Tempo poprawy energochłonności pierwotne</w:t>
                            </w:r>
                            <w:r w:rsidR="008E32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j i finalnej było największe w l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atach 2007-2009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9CC3" id="Pole tekstowe 16" o:spid="_x0000_s1032" type="#_x0000_t202" style="position:absolute;margin-left:410.25pt;margin-top:0;width:141.45pt;height:121.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" filled="f" stroked="f">
                <v:textbox>
                  <w:txbxContent>
                    <w:p w14:paraId="38D7C08C" w14:textId="164EC5F5" w:rsidR="001D3476" w:rsidRDefault="007F4108" w:rsidP="0069791B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Tempo poprawy energochłonności pierwotne</w:t>
                      </w:r>
                      <w:r w:rsidR="008E32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j i finalnej było największe w l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atach 2007-2009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1B0E" w:rsidRPr="008E32A6">
        <w:rPr>
          <w:rFonts w:ascii="Fira Sans" w:hAnsi="Fira Sans"/>
          <w:b/>
          <w:color w:val="auto"/>
          <w:szCs w:val="19"/>
        </w:rPr>
        <w:t>Energochłonność pierwotna i finalna PKB</w:t>
      </w:r>
      <w:r w:rsidR="00021B0E" w:rsidRPr="008E32A6">
        <w:rPr>
          <w:rFonts w:ascii="Fira Sans" w:hAnsi="Fira Sans"/>
          <w:color w:val="auto"/>
          <w:szCs w:val="19"/>
        </w:rPr>
        <w:t xml:space="preserve"> obniżyła się w roku 2016 w stosunku do roku 2006 odpowiednio </w:t>
      </w:r>
      <w:r w:rsidR="008E32A6" w:rsidRPr="008E32A6">
        <w:rPr>
          <w:rFonts w:ascii="Fira Sans" w:hAnsi="Fira Sans"/>
          <w:color w:val="auto"/>
          <w:szCs w:val="19"/>
        </w:rPr>
        <w:t xml:space="preserve">o </w:t>
      </w:r>
      <w:r w:rsidR="00021B0E" w:rsidRPr="008E32A6">
        <w:rPr>
          <w:rFonts w:ascii="Fira Sans" w:hAnsi="Fira Sans"/>
          <w:color w:val="auto"/>
          <w:szCs w:val="19"/>
        </w:rPr>
        <w:t>28% i 24%, po uwzględnieniu korekty klimatycznej tempo poprawy było nieznacznie niższe.</w:t>
      </w:r>
    </w:p>
    <w:p w14:paraId="5CE6ACAF" w14:textId="11F36CD8" w:rsidR="00021B0E" w:rsidRPr="008E32A6" w:rsidRDefault="00021B0E" w:rsidP="00021B0E">
      <w:pPr>
        <w:jc w:val="both"/>
        <w:rPr>
          <w:szCs w:val="19"/>
        </w:rPr>
      </w:pPr>
      <w:r w:rsidRPr="008E32A6">
        <w:rPr>
          <w:szCs w:val="19"/>
        </w:rPr>
        <w:t>Tempo poprawy w pierwszych latach omawianego okresu (tj. w latach 2006-2009) było większe niż w latach 2010-2016, co było szczególnie widoczne w przypadku energochłonności pierwotnej.</w:t>
      </w:r>
      <w:r w:rsidR="008E32A6" w:rsidRPr="008E32A6">
        <w:rPr>
          <w:szCs w:val="19"/>
        </w:rPr>
        <w:t xml:space="preserve"> </w:t>
      </w:r>
    </w:p>
    <w:p w14:paraId="187BA1B3" w14:textId="77777777" w:rsidR="00021B0E" w:rsidRDefault="00021B0E" w:rsidP="00C275DE"/>
    <w:p w14:paraId="59F7079F" w14:textId="5DFEDD40" w:rsidR="00C275DE" w:rsidRDefault="00021B0E" w:rsidP="000470AA">
      <w:pPr>
        <w:rPr>
          <w:b/>
          <w:szCs w:val="24"/>
        </w:rPr>
      </w:pPr>
      <w:r>
        <w:rPr>
          <w:b/>
          <w:szCs w:val="24"/>
        </w:rPr>
        <w:t>Tablica</w:t>
      </w:r>
      <w:r w:rsidR="00C275DE" w:rsidRPr="001D3476">
        <w:rPr>
          <w:b/>
          <w:szCs w:val="24"/>
        </w:rPr>
        <w:t xml:space="preserve"> 1. </w:t>
      </w:r>
      <w:r w:rsidRPr="00021B0E">
        <w:rPr>
          <w:b/>
          <w:szCs w:val="24"/>
        </w:rPr>
        <w:t>Tempo zmian wskaźników energochłonności PKB (%/rok)</w:t>
      </w:r>
    </w:p>
    <w:tbl>
      <w:tblPr>
        <w:tblpPr w:leftFromText="141" w:rightFromText="141" w:vertAnchor="text" w:horzAnchor="margin" w:tblpY="15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64"/>
        <w:gridCol w:w="1465"/>
        <w:gridCol w:w="1465"/>
      </w:tblGrid>
      <w:tr w:rsidR="00021B0E" w:rsidRPr="002B57E6" w14:paraId="3E434F49" w14:textId="77777777" w:rsidTr="008C7BAC">
        <w:tc>
          <w:tcPr>
            <w:tcW w:w="368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</w:tcPr>
          <w:p w14:paraId="74EC566B" w14:textId="77777777" w:rsidR="00021B0E" w:rsidRPr="00021B0E" w:rsidRDefault="00021B0E" w:rsidP="008C7BAC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Tempo zmian</w:t>
            </w:r>
          </w:p>
        </w:tc>
        <w:tc>
          <w:tcPr>
            <w:tcW w:w="146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BC4A26" w14:textId="77777777" w:rsidR="00021B0E" w:rsidRPr="00021B0E" w:rsidRDefault="00021B0E" w:rsidP="008C7BAC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2007-2009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755046" w14:textId="77777777" w:rsidR="00021B0E" w:rsidRPr="00021B0E" w:rsidRDefault="00021B0E" w:rsidP="008C7BAC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2010-2016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</w:tcPr>
          <w:p w14:paraId="2A955750" w14:textId="77777777" w:rsidR="00021B0E" w:rsidRPr="00021B0E" w:rsidRDefault="00021B0E" w:rsidP="008C7BAC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2007-2016</w:t>
            </w:r>
          </w:p>
        </w:tc>
      </w:tr>
      <w:tr w:rsidR="00021B0E" w:rsidRPr="002B57E6" w14:paraId="72ED0CD3" w14:textId="77777777" w:rsidTr="008C7BAC">
        <w:trPr>
          <w:trHeight w:val="555"/>
        </w:trPr>
        <w:tc>
          <w:tcPr>
            <w:tcW w:w="3686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vAlign w:val="center"/>
          </w:tcPr>
          <w:p w14:paraId="37457857" w14:textId="77777777" w:rsidR="00021B0E" w:rsidRPr="00021B0E" w:rsidRDefault="00021B0E" w:rsidP="00DE553B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Energochłonności pierwotnej PKB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7F266CC1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-5,28</w:t>
            </w:r>
          </w:p>
        </w:tc>
        <w:tc>
          <w:tcPr>
            <w:tcW w:w="146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00272F70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-2,26</w:t>
            </w:r>
          </w:p>
        </w:tc>
        <w:tc>
          <w:tcPr>
            <w:tcW w:w="1465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vAlign w:val="bottom"/>
          </w:tcPr>
          <w:p w14:paraId="7A5390F5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-3,18</w:t>
            </w:r>
          </w:p>
        </w:tc>
      </w:tr>
      <w:tr w:rsidR="00021B0E" w:rsidRPr="002B57E6" w14:paraId="60FFFE1A" w14:textId="77777777" w:rsidTr="008C7BAC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14:paraId="0B11F29E" w14:textId="77777777" w:rsidR="00021B0E" w:rsidRPr="00021B0E" w:rsidRDefault="00021B0E" w:rsidP="00DE553B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Energochłonności pierwotnej PKB z korektą klimatyczną</w:t>
            </w:r>
          </w:p>
        </w:tc>
        <w:tc>
          <w:tcPr>
            <w:tcW w:w="146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4A954388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-5,25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5B4C91B8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-2,20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nil"/>
            </w:tcBorders>
            <w:vAlign w:val="bottom"/>
          </w:tcPr>
          <w:p w14:paraId="237F2D77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-3,13</w:t>
            </w:r>
          </w:p>
        </w:tc>
      </w:tr>
      <w:tr w:rsidR="00021B0E" w:rsidRPr="002B57E6" w14:paraId="216BE31D" w14:textId="77777777" w:rsidTr="008C7BAC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57C41D69" w14:textId="77777777" w:rsidR="00021B0E" w:rsidRPr="00021B0E" w:rsidRDefault="00021B0E" w:rsidP="00DE553B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Energochłonności finalnej PKB</w:t>
            </w:r>
          </w:p>
        </w:tc>
        <w:tc>
          <w:tcPr>
            <w:tcW w:w="146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19A9298D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-4,41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09ABC8FD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-1,93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nil"/>
            </w:tcBorders>
            <w:vAlign w:val="bottom"/>
          </w:tcPr>
          <w:p w14:paraId="1E4A3F52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-2,68</w:t>
            </w:r>
          </w:p>
        </w:tc>
      </w:tr>
      <w:tr w:rsidR="00021B0E" w:rsidRPr="002B57E6" w14:paraId="78527266" w14:textId="77777777" w:rsidTr="008C7BAC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14:paraId="42F49D76" w14:textId="77777777" w:rsidR="00021B0E" w:rsidRPr="00021B0E" w:rsidRDefault="00021B0E" w:rsidP="00DE553B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Energochłonności finalnej PKB z korektą klimatyczną</w:t>
            </w:r>
          </w:p>
        </w:tc>
        <w:tc>
          <w:tcPr>
            <w:tcW w:w="146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3D498E1C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-4,37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bottom"/>
          </w:tcPr>
          <w:p w14:paraId="49DDA4A2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-1,84</w:t>
            </w:r>
          </w:p>
        </w:tc>
        <w:tc>
          <w:tcPr>
            <w:tcW w:w="1465" w:type="dxa"/>
            <w:tcBorders>
              <w:top w:val="nil"/>
              <w:left w:val="single" w:sz="4" w:space="0" w:color="0070C0"/>
              <w:bottom w:val="nil"/>
              <w:right w:val="nil"/>
            </w:tcBorders>
            <w:vAlign w:val="bottom"/>
          </w:tcPr>
          <w:p w14:paraId="5701BA3C" w14:textId="77777777" w:rsidR="00021B0E" w:rsidRPr="00021B0E" w:rsidRDefault="00021B0E" w:rsidP="00021B0E">
            <w:pPr>
              <w:jc w:val="right"/>
              <w:rPr>
                <w:rFonts w:cstheme="minorHAnsi"/>
                <w:szCs w:val="19"/>
              </w:rPr>
            </w:pPr>
            <w:r w:rsidRPr="00021B0E">
              <w:rPr>
                <w:rFonts w:cstheme="minorHAnsi"/>
                <w:szCs w:val="19"/>
              </w:rPr>
              <w:t>-2,61</w:t>
            </w:r>
          </w:p>
        </w:tc>
      </w:tr>
    </w:tbl>
    <w:p w14:paraId="787AFEE7" w14:textId="157ACA34" w:rsidR="007F4108" w:rsidRPr="00F867EB" w:rsidRDefault="001E0821" w:rsidP="007F4108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6841D3CB" wp14:editId="778F926F">
                <wp:simplePos x="0" y="0"/>
                <wp:positionH relativeFrom="column">
                  <wp:posOffset>5281091</wp:posOffset>
                </wp:positionH>
                <wp:positionV relativeFrom="paragraph">
                  <wp:posOffset>1966056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B356" w14:textId="4CD18DD3" w:rsidR="007F4108" w:rsidRDefault="007F4108" w:rsidP="007F410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Największy wzrost zużycia energii</w:t>
                            </w:r>
                            <w:r w:rsidR="00333A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nastąpił w sektorze transportu</w:t>
                            </w:r>
                          </w:p>
                          <w:p w14:paraId="0B1BBA1F" w14:textId="77777777" w:rsidR="007F4108" w:rsidRDefault="007F4108" w:rsidP="007F410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41BFDC80" w14:textId="77777777" w:rsidR="007F4108" w:rsidRDefault="007F4108" w:rsidP="007F4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D3CB" id="Pole tekstowe 10" o:spid="_x0000_s1033" type="#_x0000_t202" style="position:absolute;left:0;text-align:left;margin-left:415.85pt;margin-top:154.8pt;width:138.35pt;height:190.85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" filled="f" stroked="f">
                <v:textbox>
                  <w:txbxContent>
                    <w:p w14:paraId="18FBB356" w14:textId="4CD18DD3" w:rsidR="007F4108" w:rsidRDefault="007F4108" w:rsidP="007F410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Największy wzrost zużycia energii</w:t>
                      </w:r>
                      <w:r w:rsidR="00333A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nastąpił w sektorze transportu</w:t>
                      </w:r>
                    </w:p>
                    <w:p w14:paraId="0B1BBA1F" w14:textId="77777777" w:rsidR="007F4108" w:rsidRDefault="007F4108" w:rsidP="007F410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41BFDC80" w14:textId="77777777" w:rsidR="007F4108" w:rsidRDefault="007F4108" w:rsidP="007F4108"/>
                  </w:txbxContent>
                </v:textbox>
                <w10:wrap type="tight"/>
              </v:shape>
            </w:pict>
          </mc:Fallback>
        </mc:AlternateContent>
      </w:r>
    </w:p>
    <w:p w14:paraId="2191CD0B" w14:textId="4481BCA3" w:rsidR="007F4108" w:rsidRPr="00C736D3" w:rsidRDefault="00C736D3" w:rsidP="007F4108">
      <w:pPr>
        <w:pStyle w:val="tytuwykresu"/>
        <w:jc w:val="both"/>
        <w:rPr>
          <w:b w:val="0"/>
        </w:rPr>
      </w:pPr>
      <w:r w:rsidRPr="00C736D3">
        <w:rPr>
          <w:b w:val="0"/>
        </w:rPr>
        <w:t>Analizując finalne zużycie energii według sektorów zaobserwowano, że w</w:t>
      </w:r>
      <w:r w:rsidR="007F4108" w:rsidRPr="00C736D3">
        <w:rPr>
          <w:b w:val="0"/>
        </w:rPr>
        <w:t xml:space="preserve"> latach 2006-2016 wzrósł udział sektorów transportu i usług w finalnym zużyciu energii</w:t>
      </w:r>
      <w:r>
        <w:rPr>
          <w:b w:val="0"/>
        </w:rPr>
        <w:t>, a spadł</w:t>
      </w:r>
      <w:r w:rsidR="007F4108" w:rsidRPr="00C736D3">
        <w:rPr>
          <w:b w:val="0"/>
        </w:rPr>
        <w:t xml:space="preserve"> przemysłu, gospodarstw domowych i rolnictwa. Udział transportu wzrósł z 23 do 29%, co było największą zmianą w omawianym okresie, a przyczyną była rosnąca rola drogowych przewozów towarowych, a także przewozów osobowych dokonywanych samochodami prywatnymi. Gospodarstwa domowe pozostały największym konsumentem</w:t>
      </w:r>
      <w:r w:rsidR="00D922C8">
        <w:rPr>
          <w:b w:val="0"/>
        </w:rPr>
        <w:t>,</w:t>
      </w:r>
      <w:r w:rsidR="007F4108" w:rsidRPr="00C736D3">
        <w:rPr>
          <w:b w:val="0"/>
        </w:rPr>
        <w:t xml:space="preserve"> pomimo spadku udziału z 35 do 30%. </w:t>
      </w:r>
    </w:p>
    <w:p w14:paraId="7173F2D7" w14:textId="77777777" w:rsidR="007F4108" w:rsidRDefault="007F4108" w:rsidP="007F4108">
      <w:pPr>
        <w:pStyle w:val="tytuwykresu"/>
      </w:pPr>
    </w:p>
    <w:p w14:paraId="083805C4" w14:textId="77777777" w:rsidR="007F4108" w:rsidRPr="00F867EB" w:rsidRDefault="007F4108" w:rsidP="007F4108">
      <w:pPr>
        <w:pStyle w:val="tytuwykresu"/>
        <w:rPr>
          <w:highlight w:val="yellow"/>
          <w:shd w:val="clear" w:color="auto" w:fill="FFFFFF"/>
        </w:rPr>
      </w:pPr>
      <w:r w:rsidRPr="00E3795E">
        <w:t xml:space="preserve">Wykres </w:t>
      </w:r>
      <w:r>
        <w:t>2.</w:t>
      </w:r>
      <w:r w:rsidRPr="00E3795E">
        <w:rPr>
          <w:shd w:val="clear" w:color="auto" w:fill="FFFFFF"/>
        </w:rPr>
        <w:t xml:space="preserve"> </w:t>
      </w:r>
      <w:r w:rsidRPr="00F867EB">
        <w:t>Struktura finalnego zużycia energii w Polsce wg sektorów</w:t>
      </w:r>
      <w:r w:rsidRPr="00021B0E">
        <w:rPr>
          <w:noProof/>
          <w:highlight w:val="yellow"/>
          <w:lang w:eastAsia="pl-PL"/>
        </w:rPr>
        <w:t xml:space="preserve"> </w:t>
      </w:r>
      <w:r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88288" behindDoc="0" locked="0" layoutInCell="1" allowOverlap="1" wp14:anchorId="492A15AC" wp14:editId="6C8331A6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177790" cy="3571875"/>
            <wp:effectExtent l="0" t="0" r="3810" b="0"/>
            <wp:wrapSquare wrapText="bothSides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23A24" w14:textId="77777777" w:rsidR="00F867EB" w:rsidRDefault="00F867EB" w:rsidP="000470AA">
      <w:pPr>
        <w:rPr>
          <w:noProof/>
          <w:lang w:eastAsia="pl-PL"/>
        </w:rPr>
      </w:pPr>
    </w:p>
    <w:p w14:paraId="498D2B61" w14:textId="77777777" w:rsidR="00F867EB" w:rsidRDefault="00F867EB" w:rsidP="000470AA">
      <w:pPr>
        <w:rPr>
          <w:noProof/>
          <w:lang w:eastAsia="pl-PL"/>
        </w:rPr>
      </w:pPr>
    </w:p>
    <w:p w14:paraId="27F50CDB" w14:textId="77777777" w:rsidR="007F4108" w:rsidRDefault="007F4108" w:rsidP="000470AA">
      <w:pPr>
        <w:rPr>
          <w:noProof/>
          <w:lang w:eastAsia="pl-PL"/>
        </w:rPr>
      </w:pPr>
    </w:p>
    <w:p w14:paraId="1ADF918E" w14:textId="2CB85F11" w:rsidR="00F867EB" w:rsidRPr="00F867EB" w:rsidRDefault="00E828CB" w:rsidP="00F867EB">
      <w:pPr>
        <w:pStyle w:val="Nagwek1"/>
      </w:pPr>
      <w:r w:rsidRPr="00021B0E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4B76B840" wp14:editId="354D60D7">
                <wp:simplePos x="0" y="0"/>
                <wp:positionH relativeFrom="rightMargin">
                  <wp:posOffset>140335</wp:posOffset>
                </wp:positionH>
                <wp:positionV relativeFrom="paragraph">
                  <wp:posOffset>181874</wp:posOffset>
                </wp:positionV>
                <wp:extent cx="1796415" cy="1546860"/>
                <wp:effectExtent l="0" t="0" r="0" b="0"/>
                <wp:wrapTight wrapText="bothSides">
                  <wp:wrapPolygon edited="0">
                    <wp:start x="687" y="0"/>
                    <wp:lineTo x="687" y="21281"/>
                    <wp:lineTo x="20844" y="21281"/>
                    <wp:lineTo x="20844" y="0"/>
                    <wp:lineTo x="687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C29E" w14:textId="6BD70F8D" w:rsidR="00F867EB" w:rsidRDefault="00F867EB" w:rsidP="00F867EB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gospodarstwach domowych </w:t>
                            </w:r>
                            <w:r w:rsidR="004C307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najczęściej zużywanym noś</w:t>
                            </w:r>
                            <w:r w:rsidR="00E2509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nikiem energii</w:t>
                            </w:r>
                            <w:r w:rsidR="004C307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D3A6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pozostają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paliw</w:t>
                            </w:r>
                            <w:r w:rsidR="00E2509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węglowe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B840" id="Pole tekstowe 13" o:spid="_x0000_s1034" type="#_x0000_t202" style="position:absolute;margin-left:11.05pt;margin-top:14.3pt;width:141.45pt;height:121.8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" filled="f" stroked="f">
                <v:textbox>
                  <w:txbxContent>
                    <w:p w14:paraId="1EFCC29E" w14:textId="6BD70F8D" w:rsidR="00F867EB" w:rsidRDefault="00F867EB" w:rsidP="00F867EB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gospodarstwach domowych </w:t>
                      </w:r>
                      <w:r w:rsidR="004C307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najczęściej zużywanym noś</w:t>
                      </w:r>
                      <w:r w:rsidR="00E2509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nikiem energii</w:t>
                      </w:r>
                      <w:r w:rsidR="004C307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D3A6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pozostają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paliw</w:t>
                      </w:r>
                      <w:r w:rsidR="00E2509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węglowe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DFBEFE" w14:textId="72972D79" w:rsidR="00F867EB" w:rsidRDefault="005776BC" w:rsidP="00F867EB">
      <w:pPr>
        <w:jc w:val="both"/>
      </w:pPr>
      <w:r>
        <w:t>W 2016 r. u</w:t>
      </w:r>
      <w:r w:rsidR="00F867EB" w:rsidRPr="008B2FE2">
        <w:t>dział zużycia energii w gospodarstwach domowych w finalnym zużyciu energii wyniós</w:t>
      </w:r>
      <w:r w:rsidR="00F867EB">
        <w:t>ł 30</w:t>
      </w:r>
      <w:r w:rsidR="00F867EB" w:rsidRPr="008B2FE2">
        <w:t>%</w:t>
      </w:r>
      <w:r>
        <w:t>.</w:t>
      </w:r>
      <w:r w:rsidR="00F867EB" w:rsidRPr="008B2FE2">
        <w:t xml:space="preserve"> Najczęściej zużywanym nośnikiem były paliwa węglowe, </w:t>
      </w:r>
      <w:r>
        <w:t xml:space="preserve">ale ich </w:t>
      </w:r>
      <w:r w:rsidR="00F867EB">
        <w:t>udział spadł z 35% w 2006 r. do 33% w 2016</w:t>
      </w:r>
      <w:r w:rsidR="00F867EB" w:rsidRPr="008B2FE2">
        <w:t> r. Kolejnym</w:t>
      </w:r>
      <w:r>
        <w:t>i</w:t>
      </w:r>
      <w:r w:rsidR="00F867EB" w:rsidRPr="008B2FE2">
        <w:t xml:space="preserve"> nośnik</w:t>
      </w:r>
      <w:r>
        <w:t>ami</w:t>
      </w:r>
      <w:r w:rsidR="00F867EB" w:rsidRPr="008B2FE2">
        <w:t xml:space="preserve"> był</w:t>
      </w:r>
      <w:r>
        <w:t>y:</w:t>
      </w:r>
      <w:r w:rsidR="00F867EB" w:rsidRPr="008B2FE2">
        <w:t xml:space="preserve"> ciepł</w:t>
      </w:r>
      <w:r w:rsidR="00F867EB">
        <w:t xml:space="preserve">o </w:t>
      </w:r>
      <w:r>
        <w:t>(jego</w:t>
      </w:r>
      <w:r w:rsidR="00F867EB">
        <w:t xml:space="preserve"> udział wyniósł w 2016 roku 20%</w:t>
      </w:r>
      <w:r>
        <w:t>),</w:t>
      </w:r>
      <w:r w:rsidR="00F867EB">
        <w:t xml:space="preserve"> gaz ziemny </w:t>
      </w:r>
      <w:r>
        <w:t>(</w:t>
      </w:r>
      <w:r w:rsidR="00F867EB">
        <w:t>18</w:t>
      </w:r>
      <w:r w:rsidR="00F867EB" w:rsidRPr="008B2FE2">
        <w:t>%</w:t>
      </w:r>
      <w:r>
        <w:t>)</w:t>
      </w:r>
      <w:r w:rsidR="00F867EB" w:rsidRPr="008B2FE2">
        <w:t>, energia elektryczna</w:t>
      </w:r>
      <w:r w:rsidR="00F867EB">
        <w:t xml:space="preserve"> </w:t>
      </w:r>
      <w:r>
        <w:t>(</w:t>
      </w:r>
      <w:r w:rsidR="00F867EB">
        <w:t>13%</w:t>
      </w:r>
      <w:r>
        <w:t>)</w:t>
      </w:r>
      <w:r w:rsidR="00F867EB">
        <w:t xml:space="preserve">, pozostałe nośniki </w:t>
      </w:r>
      <w:r>
        <w:t>(</w:t>
      </w:r>
      <w:r w:rsidR="00F867EB">
        <w:t>14</w:t>
      </w:r>
      <w:r w:rsidR="00F867EB" w:rsidRPr="008B2FE2">
        <w:t>%</w:t>
      </w:r>
      <w:r>
        <w:t>)</w:t>
      </w:r>
      <w:r w:rsidR="00F867EB" w:rsidRPr="008B2FE2">
        <w:t xml:space="preserve"> </w:t>
      </w:r>
      <w:r>
        <w:t>i</w:t>
      </w:r>
      <w:r w:rsidR="00F867EB" w:rsidRPr="008B2FE2">
        <w:t xml:space="preserve"> paliwa ciekłe </w:t>
      </w:r>
      <w:r>
        <w:t>(</w:t>
      </w:r>
      <w:r w:rsidR="00F867EB" w:rsidRPr="008B2FE2">
        <w:t>3%</w:t>
      </w:r>
      <w:r>
        <w:t>)</w:t>
      </w:r>
      <w:r w:rsidR="00F867EB" w:rsidRPr="008B2FE2">
        <w:t>.</w:t>
      </w:r>
    </w:p>
    <w:p w14:paraId="1FCBB8A7" w14:textId="77777777" w:rsidR="00F867EB" w:rsidRDefault="00F867EB" w:rsidP="00E3795E">
      <w:pPr>
        <w:jc w:val="both"/>
        <w:rPr>
          <w:sz w:val="18"/>
        </w:rPr>
      </w:pPr>
    </w:p>
    <w:p w14:paraId="65779B22" w14:textId="575377CA" w:rsidR="00F867EB" w:rsidRPr="006C739F" w:rsidRDefault="00F867EB" w:rsidP="00F867EB">
      <w:pPr>
        <w:pStyle w:val="tytuwykresu"/>
        <w:rPr>
          <w:highlight w:val="yellow"/>
          <w:shd w:val="clear" w:color="auto" w:fill="FFFFFF"/>
        </w:rPr>
      </w:pPr>
      <w:r w:rsidRPr="00F867EB">
        <w:t xml:space="preserve">Wykres </w:t>
      </w:r>
      <w:r w:rsidR="00BC1797">
        <w:t>3</w:t>
      </w:r>
      <w:r w:rsidRPr="00F867EB">
        <w:t>.</w:t>
      </w:r>
      <w:r w:rsidRPr="00F867EB">
        <w:rPr>
          <w:shd w:val="clear" w:color="auto" w:fill="FFFFFF"/>
        </w:rPr>
        <w:t xml:space="preserve"> </w:t>
      </w:r>
      <w:r w:rsidRPr="008B2FE2">
        <w:t>Zużycie finalne energii w gospodarstwach domowych wg nośników</w:t>
      </w:r>
    </w:p>
    <w:p w14:paraId="38875798" w14:textId="0BE02239" w:rsidR="00F867EB" w:rsidRDefault="00BC1797" w:rsidP="00E3795E">
      <w:pPr>
        <w:jc w:val="both"/>
        <w:rPr>
          <w:sz w:val="18"/>
        </w:rPr>
      </w:pPr>
      <w:r w:rsidRPr="00021B0E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755E15DA" wp14:editId="5FF1BBD3">
                <wp:simplePos x="0" y="0"/>
                <wp:positionH relativeFrom="column">
                  <wp:posOffset>5271770</wp:posOffset>
                </wp:positionH>
                <wp:positionV relativeFrom="paragraph">
                  <wp:posOffset>3877574</wp:posOffset>
                </wp:positionV>
                <wp:extent cx="1796415" cy="793115"/>
                <wp:effectExtent l="0" t="0" r="0" b="0"/>
                <wp:wrapTight wrapText="bothSides">
                  <wp:wrapPolygon edited="0">
                    <wp:start x="687" y="0"/>
                    <wp:lineTo x="687" y="20753"/>
                    <wp:lineTo x="20844" y="20753"/>
                    <wp:lineTo x="20844" y="0"/>
                    <wp:lineTo x="687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3EE9" w14:textId="6CA103BA" w:rsidR="00BC1797" w:rsidRDefault="00C0082C" w:rsidP="00BC179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Ponad 66% energii zużywanej przez gospodarstwa domowe przeznaczono na o</w:t>
                            </w:r>
                            <w:r w:rsidR="00BC17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grzewanie pomieszczeń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15DA" id="Pole tekstowe 24" o:spid="_x0000_s1035" type="#_x0000_t202" style="position:absolute;left:0;text-align:left;margin-left:415.1pt;margin-top:305.3pt;width:141.45pt;height:62.4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" filled="f" stroked="f">
                <v:textbox>
                  <w:txbxContent>
                    <w:p w14:paraId="0D393EE9" w14:textId="6CA103BA" w:rsidR="00BC1797" w:rsidRDefault="00C0082C" w:rsidP="00BC1797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Ponad 66% energii zużywanej przez gospodarstwa domowe przeznaczono na o</w:t>
                      </w:r>
                      <w:r w:rsidR="00BC17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grzewanie pomieszczeń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67EB"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71904" behindDoc="0" locked="0" layoutInCell="1" allowOverlap="1" wp14:anchorId="5808BD25" wp14:editId="56181BB3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177790" cy="3571875"/>
            <wp:effectExtent l="0" t="0" r="381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83FCE" w14:textId="6E213AF8" w:rsidR="00F867EB" w:rsidRDefault="00F867EB" w:rsidP="00F867EB">
      <w:pPr>
        <w:jc w:val="both"/>
      </w:pPr>
      <w:r>
        <w:t>Najważniejszym kierunkiem użytkowania energii było ogrzewanie pomieszczeń, których udział wyniósł 66,4% w 2016 r. Ogrzewanie wody pochłonęło 15,8% energii, oświetlenie i urządzenia elektryczne 9,7%, a gotowanie posiłków 8,0%.</w:t>
      </w:r>
    </w:p>
    <w:p w14:paraId="77F496A7" w14:textId="1109A544" w:rsidR="00F867EB" w:rsidRPr="00600BCF" w:rsidRDefault="00F867EB" w:rsidP="00F867EB">
      <w:pPr>
        <w:jc w:val="both"/>
        <w:rPr>
          <w:b/>
          <w:bCs/>
        </w:rPr>
      </w:pPr>
      <w:r>
        <w:rPr>
          <w:b/>
          <w:bCs/>
        </w:rPr>
        <w:t>Tablica 2</w:t>
      </w:r>
      <w:r w:rsidRPr="00600BCF">
        <w:rPr>
          <w:b/>
          <w:bCs/>
        </w:rPr>
        <w:t xml:space="preserve">. Struktura zużycia energii w gospodarstwach domowych </w:t>
      </w:r>
      <w:r w:rsidR="002837F4">
        <w:rPr>
          <w:b/>
          <w:bCs/>
        </w:rPr>
        <w:t>według</w:t>
      </w:r>
      <w:r w:rsidRPr="00600BCF">
        <w:rPr>
          <w:b/>
          <w:bCs/>
        </w:rPr>
        <w:t xml:space="preserve"> kierunków użytkowania (%)</w:t>
      </w:r>
    </w:p>
    <w:tbl>
      <w:tblPr>
        <w:tblpPr w:leftFromText="141" w:rightFromText="141" w:vertAnchor="text" w:horzAnchor="margin" w:tblpY="35"/>
        <w:tblW w:w="7914" w:type="dxa"/>
        <w:tblBorders>
          <w:top w:val="single" w:sz="4" w:space="0" w:color="auto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997"/>
        <w:gridCol w:w="996"/>
        <w:gridCol w:w="997"/>
        <w:gridCol w:w="997"/>
        <w:gridCol w:w="997"/>
      </w:tblGrid>
      <w:tr w:rsidR="00F867EB" w:rsidRPr="00600BCF" w14:paraId="62782E06" w14:textId="77777777" w:rsidTr="0028366C">
        <w:trPr>
          <w:trHeight w:val="486"/>
        </w:trPr>
        <w:tc>
          <w:tcPr>
            <w:tcW w:w="2930" w:type="dxa"/>
            <w:tcBorders>
              <w:top w:val="nil"/>
              <w:bottom w:val="single" w:sz="4" w:space="0" w:color="0070C0"/>
            </w:tcBorders>
          </w:tcPr>
          <w:p w14:paraId="7D44762E" w14:textId="77777777" w:rsidR="00F867EB" w:rsidRPr="002837F4" w:rsidRDefault="00F867EB" w:rsidP="002837F4">
            <w:pPr>
              <w:jc w:val="center"/>
            </w:pPr>
            <w:r w:rsidRPr="002837F4">
              <w:t>Wyszczególnienie</w:t>
            </w:r>
          </w:p>
        </w:tc>
        <w:tc>
          <w:tcPr>
            <w:tcW w:w="997" w:type="dxa"/>
            <w:tcBorders>
              <w:top w:val="nil"/>
              <w:bottom w:val="single" w:sz="4" w:space="0" w:color="0070C0"/>
            </w:tcBorders>
          </w:tcPr>
          <w:p w14:paraId="4676CA1B" w14:textId="77777777" w:rsidR="00F867EB" w:rsidRPr="002837F4" w:rsidRDefault="00F867EB" w:rsidP="002837F4">
            <w:pPr>
              <w:jc w:val="center"/>
            </w:pPr>
            <w:r w:rsidRPr="002837F4">
              <w:t>2002</w:t>
            </w:r>
          </w:p>
        </w:tc>
        <w:tc>
          <w:tcPr>
            <w:tcW w:w="996" w:type="dxa"/>
            <w:tcBorders>
              <w:top w:val="nil"/>
              <w:bottom w:val="single" w:sz="4" w:space="0" w:color="0070C0"/>
            </w:tcBorders>
          </w:tcPr>
          <w:p w14:paraId="56345057" w14:textId="77777777" w:rsidR="00F867EB" w:rsidRPr="002837F4" w:rsidRDefault="00F867EB" w:rsidP="002837F4">
            <w:pPr>
              <w:jc w:val="center"/>
            </w:pPr>
            <w:r w:rsidRPr="002837F4">
              <w:t>2009</w:t>
            </w:r>
          </w:p>
        </w:tc>
        <w:tc>
          <w:tcPr>
            <w:tcW w:w="997" w:type="dxa"/>
            <w:tcBorders>
              <w:top w:val="nil"/>
              <w:bottom w:val="single" w:sz="4" w:space="0" w:color="0070C0"/>
            </w:tcBorders>
          </w:tcPr>
          <w:p w14:paraId="2FFAEDFA" w14:textId="77777777" w:rsidR="00F867EB" w:rsidRPr="002837F4" w:rsidRDefault="00F867EB" w:rsidP="002837F4">
            <w:pPr>
              <w:jc w:val="center"/>
            </w:pPr>
            <w:r w:rsidRPr="002837F4">
              <w:t>2012</w:t>
            </w:r>
          </w:p>
        </w:tc>
        <w:tc>
          <w:tcPr>
            <w:tcW w:w="997" w:type="dxa"/>
            <w:tcBorders>
              <w:top w:val="nil"/>
              <w:bottom w:val="single" w:sz="4" w:space="0" w:color="0070C0"/>
            </w:tcBorders>
          </w:tcPr>
          <w:p w14:paraId="48885787" w14:textId="77777777" w:rsidR="00F867EB" w:rsidRPr="002837F4" w:rsidRDefault="00F867EB" w:rsidP="002837F4">
            <w:pPr>
              <w:jc w:val="center"/>
            </w:pPr>
            <w:r w:rsidRPr="002837F4">
              <w:t>2015</w:t>
            </w:r>
          </w:p>
        </w:tc>
        <w:tc>
          <w:tcPr>
            <w:tcW w:w="997" w:type="dxa"/>
            <w:tcBorders>
              <w:top w:val="nil"/>
              <w:bottom w:val="single" w:sz="4" w:space="0" w:color="0070C0"/>
            </w:tcBorders>
          </w:tcPr>
          <w:p w14:paraId="3192A95D" w14:textId="77777777" w:rsidR="00F867EB" w:rsidRPr="002837F4" w:rsidRDefault="00F867EB" w:rsidP="002837F4">
            <w:pPr>
              <w:jc w:val="center"/>
            </w:pPr>
            <w:r w:rsidRPr="002837F4">
              <w:t>2016</w:t>
            </w:r>
          </w:p>
        </w:tc>
      </w:tr>
      <w:tr w:rsidR="00F867EB" w:rsidRPr="00600BCF" w14:paraId="09F8630A" w14:textId="77777777" w:rsidTr="0028366C">
        <w:trPr>
          <w:trHeight w:val="486"/>
        </w:trPr>
        <w:tc>
          <w:tcPr>
            <w:tcW w:w="2930" w:type="dxa"/>
            <w:tcBorders>
              <w:top w:val="single" w:sz="4" w:space="0" w:color="0070C0"/>
            </w:tcBorders>
          </w:tcPr>
          <w:p w14:paraId="378A82D5" w14:textId="47A04A18" w:rsidR="00F867EB" w:rsidRPr="00600BCF" w:rsidRDefault="00F867EB" w:rsidP="002837F4">
            <w:pPr>
              <w:jc w:val="both"/>
            </w:pPr>
            <w:r w:rsidRPr="00600BCF">
              <w:t>Ogółem</w:t>
            </w:r>
          </w:p>
        </w:tc>
        <w:tc>
          <w:tcPr>
            <w:tcW w:w="997" w:type="dxa"/>
            <w:tcBorders>
              <w:top w:val="single" w:sz="4" w:space="0" w:color="0070C0"/>
            </w:tcBorders>
          </w:tcPr>
          <w:p w14:paraId="57C9F95F" w14:textId="77777777" w:rsidR="00F867EB" w:rsidRPr="00600BCF" w:rsidRDefault="00F867EB" w:rsidP="00F867EB">
            <w:pPr>
              <w:jc w:val="right"/>
            </w:pPr>
            <w:r w:rsidRPr="00600BCF">
              <w:t>100,0</w:t>
            </w:r>
          </w:p>
        </w:tc>
        <w:tc>
          <w:tcPr>
            <w:tcW w:w="996" w:type="dxa"/>
            <w:tcBorders>
              <w:top w:val="single" w:sz="4" w:space="0" w:color="0070C0"/>
            </w:tcBorders>
          </w:tcPr>
          <w:p w14:paraId="7A70A31A" w14:textId="77777777" w:rsidR="00F867EB" w:rsidRPr="00600BCF" w:rsidRDefault="00F867EB" w:rsidP="00F867EB">
            <w:pPr>
              <w:jc w:val="right"/>
            </w:pPr>
            <w:r w:rsidRPr="00600BCF">
              <w:t>100,0</w:t>
            </w:r>
          </w:p>
        </w:tc>
        <w:tc>
          <w:tcPr>
            <w:tcW w:w="997" w:type="dxa"/>
            <w:tcBorders>
              <w:top w:val="single" w:sz="4" w:space="0" w:color="0070C0"/>
            </w:tcBorders>
          </w:tcPr>
          <w:p w14:paraId="4E2E045F" w14:textId="77777777" w:rsidR="00F867EB" w:rsidRPr="00600BCF" w:rsidRDefault="00F867EB" w:rsidP="00F867EB">
            <w:pPr>
              <w:jc w:val="right"/>
            </w:pPr>
            <w:r w:rsidRPr="00600BCF">
              <w:t>100,0</w:t>
            </w:r>
          </w:p>
        </w:tc>
        <w:tc>
          <w:tcPr>
            <w:tcW w:w="997" w:type="dxa"/>
            <w:tcBorders>
              <w:top w:val="single" w:sz="4" w:space="0" w:color="0070C0"/>
            </w:tcBorders>
          </w:tcPr>
          <w:p w14:paraId="566A87F4" w14:textId="77777777" w:rsidR="00F867EB" w:rsidRPr="00600BCF" w:rsidRDefault="00F867EB" w:rsidP="00F867EB">
            <w:pPr>
              <w:jc w:val="right"/>
            </w:pPr>
            <w:r w:rsidRPr="00600BCF">
              <w:t>100,0</w:t>
            </w:r>
          </w:p>
        </w:tc>
        <w:tc>
          <w:tcPr>
            <w:tcW w:w="997" w:type="dxa"/>
            <w:tcBorders>
              <w:top w:val="single" w:sz="4" w:space="0" w:color="0070C0"/>
            </w:tcBorders>
          </w:tcPr>
          <w:p w14:paraId="4FEE7481" w14:textId="77777777" w:rsidR="00F867EB" w:rsidRPr="00600BCF" w:rsidRDefault="00F867EB" w:rsidP="00F867EB">
            <w:pPr>
              <w:jc w:val="right"/>
            </w:pPr>
            <w:r w:rsidRPr="00600BCF">
              <w:t>100,0</w:t>
            </w:r>
          </w:p>
        </w:tc>
      </w:tr>
      <w:tr w:rsidR="00F867EB" w:rsidRPr="00600BCF" w14:paraId="54742D4C" w14:textId="77777777" w:rsidTr="0028366C">
        <w:trPr>
          <w:trHeight w:val="486"/>
        </w:trPr>
        <w:tc>
          <w:tcPr>
            <w:tcW w:w="2930" w:type="dxa"/>
          </w:tcPr>
          <w:p w14:paraId="18FC38DF" w14:textId="6B4755AE" w:rsidR="00F867EB" w:rsidRPr="00600BCF" w:rsidRDefault="00F867EB" w:rsidP="002837F4">
            <w:pPr>
              <w:jc w:val="both"/>
            </w:pPr>
            <w:r w:rsidRPr="00600BCF">
              <w:t>Ogrzewanie pomieszczeń</w:t>
            </w:r>
          </w:p>
        </w:tc>
        <w:tc>
          <w:tcPr>
            <w:tcW w:w="997" w:type="dxa"/>
          </w:tcPr>
          <w:p w14:paraId="1F1E8C5E" w14:textId="77777777" w:rsidR="00F867EB" w:rsidRPr="00600BCF" w:rsidRDefault="00F867EB" w:rsidP="00F867EB">
            <w:pPr>
              <w:jc w:val="right"/>
            </w:pPr>
            <w:r w:rsidRPr="00600BCF">
              <w:t>71,3</w:t>
            </w:r>
          </w:p>
        </w:tc>
        <w:tc>
          <w:tcPr>
            <w:tcW w:w="996" w:type="dxa"/>
          </w:tcPr>
          <w:p w14:paraId="71FBC551" w14:textId="77777777" w:rsidR="00F867EB" w:rsidRPr="00600BCF" w:rsidRDefault="00F867EB" w:rsidP="00F867EB">
            <w:pPr>
              <w:jc w:val="right"/>
            </w:pPr>
            <w:r w:rsidRPr="00600BCF">
              <w:t>70,2</w:t>
            </w:r>
          </w:p>
        </w:tc>
        <w:tc>
          <w:tcPr>
            <w:tcW w:w="997" w:type="dxa"/>
          </w:tcPr>
          <w:p w14:paraId="62CDA617" w14:textId="77777777" w:rsidR="00F867EB" w:rsidRPr="00600BCF" w:rsidRDefault="00F867EB" w:rsidP="00F867EB">
            <w:pPr>
              <w:jc w:val="right"/>
            </w:pPr>
            <w:r w:rsidRPr="00600BCF">
              <w:t>68,8</w:t>
            </w:r>
          </w:p>
        </w:tc>
        <w:tc>
          <w:tcPr>
            <w:tcW w:w="997" w:type="dxa"/>
          </w:tcPr>
          <w:p w14:paraId="0669AF54" w14:textId="77777777" w:rsidR="00F867EB" w:rsidRPr="00600BCF" w:rsidRDefault="00F867EB" w:rsidP="00F867EB">
            <w:pPr>
              <w:jc w:val="right"/>
            </w:pPr>
            <w:r w:rsidRPr="00600BCF">
              <w:t>65,5</w:t>
            </w:r>
          </w:p>
        </w:tc>
        <w:tc>
          <w:tcPr>
            <w:tcW w:w="997" w:type="dxa"/>
          </w:tcPr>
          <w:p w14:paraId="1F77DD5E" w14:textId="77777777" w:rsidR="00F867EB" w:rsidRPr="00600BCF" w:rsidRDefault="00F867EB" w:rsidP="00F867EB">
            <w:pPr>
              <w:jc w:val="right"/>
            </w:pPr>
            <w:r w:rsidRPr="00600BCF">
              <w:t>66,4</w:t>
            </w:r>
          </w:p>
        </w:tc>
      </w:tr>
      <w:tr w:rsidR="00F867EB" w:rsidRPr="00600BCF" w14:paraId="6B018D27" w14:textId="77777777" w:rsidTr="0028366C">
        <w:trPr>
          <w:trHeight w:val="500"/>
        </w:trPr>
        <w:tc>
          <w:tcPr>
            <w:tcW w:w="2930" w:type="dxa"/>
          </w:tcPr>
          <w:p w14:paraId="07FAA7C3" w14:textId="2AAEE1AF" w:rsidR="00F867EB" w:rsidRPr="00600BCF" w:rsidRDefault="00F867EB" w:rsidP="002837F4">
            <w:pPr>
              <w:jc w:val="both"/>
            </w:pPr>
            <w:r w:rsidRPr="00600BCF">
              <w:t>Ogrzewanie wody</w:t>
            </w:r>
          </w:p>
        </w:tc>
        <w:tc>
          <w:tcPr>
            <w:tcW w:w="997" w:type="dxa"/>
          </w:tcPr>
          <w:p w14:paraId="36028D93" w14:textId="77777777" w:rsidR="00F867EB" w:rsidRPr="00600BCF" w:rsidRDefault="00F867EB" w:rsidP="00F867EB">
            <w:pPr>
              <w:jc w:val="right"/>
            </w:pPr>
            <w:r w:rsidRPr="00600BCF">
              <w:t>15,0</w:t>
            </w:r>
          </w:p>
        </w:tc>
        <w:tc>
          <w:tcPr>
            <w:tcW w:w="996" w:type="dxa"/>
          </w:tcPr>
          <w:p w14:paraId="1AFE20EA" w14:textId="77777777" w:rsidR="00F867EB" w:rsidRPr="00600BCF" w:rsidRDefault="00F867EB" w:rsidP="00F867EB">
            <w:pPr>
              <w:jc w:val="right"/>
            </w:pPr>
            <w:r w:rsidRPr="00600BCF">
              <w:t>14,4</w:t>
            </w:r>
          </w:p>
        </w:tc>
        <w:tc>
          <w:tcPr>
            <w:tcW w:w="997" w:type="dxa"/>
          </w:tcPr>
          <w:p w14:paraId="224162B0" w14:textId="77777777" w:rsidR="00F867EB" w:rsidRPr="00600BCF" w:rsidRDefault="00F867EB" w:rsidP="00F867EB">
            <w:pPr>
              <w:jc w:val="right"/>
            </w:pPr>
            <w:r w:rsidRPr="00600BCF">
              <w:t>14,8</w:t>
            </w:r>
          </w:p>
        </w:tc>
        <w:tc>
          <w:tcPr>
            <w:tcW w:w="997" w:type="dxa"/>
          </w:tcPr>
          <w:p w14:paraId="4173BDD3" w14:textId="77777777" w:rsidR="00F867EB" w:rsidRPr="00600BCF" w:rsidRDefault="00F867EB" w:rsidP="00F867EB">
            <w:pPr>
              <w:jc w:val="right"/>
            </w:pPr>
            <w:r w:rsidRPr="00600BCF">
              <w:t>16,2</w:t>
            </w:r>
          </w:p>
        </w:tc>
        <w:tc>
          <w:tcPr>
            <w:tcW w:w="997" w:type="dxa"/>
          </w:tcPr>
          <w:p w14:paraId="104610DC" w14:textId="77777777" w:rsidR="00F867EB" w:rsidRPr="00600BCF" w:rsidRDefault="00F867EB" w:rsidP="00F867EB">
            <w:pPr>
              <w:jc w:val="right"/>
            </w:pPr>
            <w:r w:rsidRPr="00600BCF">
              <w:t>15,8</w:t>
            </w:r>
          </w:p>
        </w:tc>
      </w:tr>
      <w:tr w:rsidR="00F867EB" w:rsidRPr="00600BCF" w14:paraId="650D2074" w14:textId="77777777" w:rsidTr="0028366C">
        <w:trPr>
          <w:trHeight w:val="486"/>
        </w:trPr>
        <w:tc>
          <w:tcPr>
            <w:tcW w:w="2930" w:type="dxa"/>
          </w:tcPr>
          <w:p w14:paraId="35910B14" w14:textId="1214B897" w:rsidR="00F867EB" w:rsidRPr="00600BCF" w:rsidRDefault="00F867EB" w:rsidP="002837F4">
            <w:pPr>
              <w:jc w:val="both"/>
            </w:pPr>
            <w:r w:rsidRPr="00600BCF">
              <w:t>Gotowanie posiłków</w:t>
            </w:r>
          </w:p>
        </w:tc>
        <w:tc>
          <w:tcPr>
            <w:tcW w:w="997" w:type="dxa"/>
          </w:tcPr>
          <w:p w14:paraId="1862C620" w14:textId="77777777" w:rsidR="00F867EB" w:rsidRPr="00600BCF" w:rsidRDefault="00F867EB" w:rsidP="00F867EB">
            <w:pPr>
              <w:jc w:val="right"/>
            </w:pPr>
            <w:r w:rsidRPr="00600BCF">
              <w:t>7,1</w:t>
            </w:r>
          </w:p>
        </w:tc>
        <w:tc>
          <w:tcPr>
            <w:tcW w:w="996" w:type="dxa"/>
          </w:tcPr>
          <w:p w14:paraId="20577485" w14:textId="77777777" w:rsidR="00F867EB" w:rsidRPr="00600BCF" w:rsidRDefault="00F867EB" w:rsidP="00F867EB">
            <w:pPr>
              <w:jc w:val="right"/>
            </w:pPr>
            <w:r w:rsidRPr="00600BCF">
              <w:t>8,2</w:t>
            </w:r>
          </w:p>
        </w:tc>
        <w:tc>
          <w:tcPr>
            <w:tcW w:w="997" w:type="dxa"/>
          </w:tcPr>
          <w:p w14:paraId="561DE350" w14:textId="77777777" w:rsidR="00F867EB" w:rsidRPr="00600BCF" w:rsidRDefault="00F867EB" w:rsidP="00F867EB">
            <w:pPr>
              <w:jc w:val="right"/>
            </w:pPr>
            <w:r w:rsidRPr="00600BCF">
              <w:t>8,3</w:t>
            </w:r>
          </w:p>
        </w:tc>
        <w:tc>
          <w:tcPr>
            <w:tcW w:w="997" w:type="dxa"/>
          </w:tcPr>
          <w:p w14:paraId="53A65B76" w14:textId="77777777" w:rsidR="00F867EB" w:rsidRPr="00600BCF" w:rsidRDefault="00F867EB" w:rsidP="00F867EB">
            <w:pPr>
              <w:jc w:val="right"/>
            </w:pPr>
            <w:r w:rsidRPr="00600BCF">
              <w:t>8,5</w:t>
            </w:r>
          </w:p>
        </w:tc>
        <w:tc>
          <w:tcPr>
            <w:tcW w:w="997" w:type="dxa"/>
          </w:tcPr>
          <w:p w14:paraId="300FB12F" w14:textId="77777777" w:rsidR="00F867EB" w:rsidRPr="00600BCF" w:rsidRDefault="00F867EB" w:rsidP="00F867EB">
            <w:pPr>
              <w:jc w:val="right"/>
            </w:pPr>
            <w:r w:rsidRPr="00600BCF">
              <w:t>8,0</w:t>
            </w:r>
          </w:p>
        </w:tc>
      </w:tr>
      <w:tr w:rsidR="00F867EB" w:rsidRPr="00600BCF" w14:paraId="54281884" w14:textId="77777777" w:rsidTr="0028366C">
        <w:trPr>
          <w:trHeight w:val="486"/>
        </w:trPr>
        <w:tc>
          <w:tcPr>
            <w:tcW w:w="2930" w:type="dxa"/>
          </w:tcPr>
          <w:p w14:paraId="43A2EDD0" w14:textId="3FFA2D4E" w:rsidR="00F867EB" w:rsidRPr="00600BCF" w:rsidRDefault="00F867EB" w:rsidP="002837F4">
            <w:pPr>
              <w:jc w:val="both"/>
            </w:pPr>
            <w:r w:rsidRPr="00600BCF">
              <w:t>Oświetlenie</w:t>
            </w:r>
          </w:p>
        </w:tc>
        <w:tc>
          <w:tcPr>
            <w:tcW w:w="997" w:type="dxa"/>
          </w:tcPr>
          <w:p w14:paraId="5C8A1F13" w14:textId="77777777" w:rsidR="00F867EB" w:rsidRPr="00600BCF" w:rsidRDefault="00F867EB" w:rsidP="00F867EB">
            <w:pPr>
              <w:jc w:val="right"/>
            </w:pPr>
            <w:r w:rsidRPr="00600BCF">
              <w:t>2,3</w:t>
            </w:r>
          </w:p>
        </w:tc>
        <w:tc>
          <w:tcPr>
            <w:tcW w:w="996" w:type="dxa"/>
          </w:tcPr>
          <w:p w14:paraId="39D705ED" w14:textId="77777777" w:rsidR="00F867EB" w:rsidRPr="00600BCF" w:rsidRDefault="00F867EB" w:rsidP="00F867EB">
            <w:pPr>
              <w:jc w:val="right"/>
            </w:pPr>
            <w:r w:rsidRPr="00600BCF">
              <w:t>1,8</w:t>
            </w:r>
          </w:p>
        </w:tc>
        <w:tc>
          <w:tcPr>
            <w:tcW w:w="997" w:type="dxa"/>
          </w:tcPr>
          <w:p w14:paraId="090B2FC4" w14:textId="77777777" w:rsidR="00F867EB" w:rsidRPr="00600BCF" w:rsidRDefault="00F867EB" w:rsidP="00F867EB">
            <w:pPr>
              <w:jc w:val="right"/>
            </w:pPr>
            <w:r w:rsidRPr="00600BCF">
              <w:t>1,5</w:t>
            </w:r>
          </w:p>
        </w:tc>
        <w:tc>
          <w:tcPr>
            <w:tcW w:w="997" w:type="dxa"/>
            <w:vMerge w:val="restart"/>
            <w:vAlign w:val="center"/>
          </w:tcPr>
          <w:p w14:paraId="0D341D71" w14:textId="77777777" w:rsidR="00F867EB" w:rsidRPr="00600BCF" w:rsidRDefault="00F867EB" w:rsidP="00F867EB">
            <w:pPr>
              <w:jc w:val="right"/>
            </w:pPr>
            <w:r w:rsidRPr="00600BCF">
              <w:t>9,8*</w:t>
            </w:r>
            <w:r w:rsidRPr="00600BCF">
              <w:rPr>
                <w:vertAlign w:val="superscript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14:paraId="235A241C" w14:textId="581606DA" w:rsidR="00F867EB" w:rsidRPr="00600BCF" w:rsidRDefault="00F867EB" w:rsidP="00402667">
            <w:pPr>
              <w:jc w:val="right"/>
            </w:pPr>
            <w:r w:rsidRPr="00600BCF">
              <w:t>9,7</w:t>
            </w:r>
            <w:r w:rsidR="00402667" w:rsidRPr="00600BCF">
              <w:t>*</w:t>
            </w:r>
            <w:r w:rsidR="00402667" w:rsidRPr="00600BCF">
              <w:rPr>
                <w:vertAlign w:val="superscript"/>
              </w:rPr>
              <w:t>)</w:t>
            </w:r>
          </w:p>
        </w:tc>
      </w:tr>
      <w:tr w:rsidR="00F867EB" w:rsidRPr="00600BCF" w14:paraId="4D7C2E6B" w14:textId="77777777" w:rsidTr="0028366C">
        <w:trPr>
          <w:trHeight w:val="486"/>
        </w:trPr>
        <w:tc>
          <w:tcPr>
            <w:tcW w:w="2930" w:type="dxa"/>
          </w:tcPr>
          <w:p w14:paraId="214171B2" w14:textId="7BA8E8DE" w:rsidR="00F867EB" w:rsidRPr="00600BCF" w:rsidRDefault="00F867EB" w:rsidP="002837F4">
            <w:pPr>
              <w:jc w:val="both"/>
            </w:pPr>
            <w:r w:rsidRPr="00600BCF">
              <w:t>Urządzenia elektryczne</w:t>
            </w:r>
          </w:p>
        </w:tc>
        <w:tc>
          <w:tcPr>
            <w:tcW w:w="997" w:type="dxa"/>
          </w:tcPr>
          <w:p w14:paraId="66B38929" w14:textId="77777777" w:rsidR="00F867EB" w:rsidRPr="00600BCF" w:rsidRDefault="00F867EB" w:rsidP="00F867EB">
            <w:pPr>
              <w:jc w:val="right"/>
            </w:pPr>
            <w:r w:rsidRPr="00600BCF">
              <w:t>4,3</w:t>
            </w:r>
          </w:p>
        </w:tc>
        <w:tc>
          <w:tcPr>
            <w:tcW w:w="996" w:type="dxa"/>
          </w:tcPr>
          <w:p w14:paraId="10A1DF63" w14:textId="77777777" w:rsidR="00F867EB" w:rsidRPr="00600BCF" w:rsidRDefault="00F867EB" w:rsidP="00F867EB">
            <w:pPr>
              <w:jc w:val="right"/>
            </w:pPr>
            <w:r w:rsidRPr="00600BCF">
              <w:t>5,4</w:t>
            </w:r>
          </w:p>
        </w:tc>
        <w:tc>
          <w:tcPr>
            <w:tcW w:w="997" w:type="dxa"/>
          </w:tcPr>
          <w:p w14:paraId="2D038540" w14:textId="77777777" w:rsidR="00F867EB" w:rsidRPr="00600BCF" w:rsidRDefault="00F867EB" w:rsidP="00F867EB">
            <w:pPr>
              <w:jc w:val="right"/>
            </w:pPr>
            <w:r w:rsidRPr="00600BCF">
              <w:t>6,6</w:t>
            </w:r>
          </w:p>
        </w:tc>
        <w:tc>
          <w:tcPr>
            <w:tcW w:w="997" w:type="dxa"/>
            <w:vMerge/>
          </w:tcPr>
          <w:p w14:paraId="7B1BA922" w14:textId="77777777" w:rsidR="00F867EB" w:rsidRPr="00600BCF" w:rsidRDefault="00F867EB" w:rsidP="00F867EB">
            <w:pPr>
              <w:jc w:val="both"/>
            </w:pPr>
          </w:p>
        </w:tc>
        <w:tc>
          <w:tcPr>
            <w:tcW w:w="997" w:type="dxa"/>
            <w:vMerge/>
          </w:tcPr>
          <w:p w14:paraId="6F348917" w14:textId="77777777" w:rsidR="00F867EB" w:rsidRPr="00600BCF" w:rsidRDefault="00F867EB" w:rsidP="00F867EB">
            <w:pPr>
              <w:jc w:val="both"/>
            </w:pPr>
          </w:p>
        </w:tc>
      </w:tr>
    </w:tbl>
    <w:p w14:paraId="300D8A7A" w14:textId="39A1940C" w:rsidR="00F867EB" w:rsidRPr="00600BCF" w:rsidRDefault="00F867EB" w:rsidP="00F867EB">
      <w:pPr>
        <w:jc w:val="both"/>
      </w:pPr>
      <w:r w:rsidRPr="00600BCF">
        <w:t>*</w:t>
      </w:r>
      <w:r w:rsidRPr="00600BCF">
        <w:rPr>
          <w:vertAlign w:val="superscript"/>
        </w:rPr>
        <w:t>)</w:t>
      </w:r>
      <w:r w:rsidR="002837F4">
        <w:t xml:space="preserve"> </w:t>
      </w:r>
      <w:r w:rsidRPr="00600BCF">
        <w:t>łącznie oświetlenie i urządzenia elektryczne</w:t>
      </w:r>
    </w:p>
    <w:p w14:paraId="1286285D" w14:textId="77777777" w:rsidR="00F867EB" w:rsidRDefault="00F867EB" w:rsidP="00E3795E">
      <w:pPr>
        <w:jc w:val="both"/>
        <w:rPr>
          <w:sz w:val="18"/>
        </w:rPr>
      </w:pPr>
    </w:p>
    <w:p w14:paraId="3FC73A8C" w14:textId="77777777" w:rsidR="00F867EB" w:rsidRDefault="00F867EB" w:rsidP="00E3795E">
      <w:pPr>
        <w:jc w:val="both"/>
        <w:rPr>
          <w:sz w:val="18"/>
        </w:rPr>
      </w:pPr>
    </w:p>
    <w:p w14:paraId="591DE0A1" w14:textId="77777777" w:rsidR="00F867EB" w:rsidRDefault="00F867EB" w:rsidP="00E3795E">
      <w:pPr>
        <w:jc w:val="both"/>
        <w:rPr>
          <w:sz w:val="18"/>
        </w:rPr>
      </w:pPr>
    </w:p>
    <w:p w14:paraId="04AC741A" w14:textId="356A1B48" w:rsidR="00F867EB" w:rsidRDefault="00F439C5" w:rsidP="00F867EB">
      <w:pPr>
        <w:pStyle w:val="Nagwek1"/>
      </w:pPr>
      <w:r w:rsidRPr="00021B0E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0490081E" wp14:editId="3F949767">
                <wp:simplePos x="0" y="0"/>
                <wp:positionH relativeFrom="column">
                  <wp:posOffset>5243195</wp:posOffset>
                </wp:positionH>
                <wp:positionV relativeFrom="paragraph">
                  <wp:posOffset>166741</wp:posOffset>
                </wp:positionV>
                <wp:extent cx="1796415" cy="1546860"/>
                <wp:effectExtent l="0" t="0" r="0" b="0"/>
                <wp:wrapTight wrapText="bothSides">
                  <wp:wrapPolygon edited="0">
                    <wp:start x="687" y="0"/>
                    <wp:lineTo x="687" y="21281"/>
                    <wp:lineTo x="20844" y="21281"/>
                    <wp:lineTo x="20844" y="0"/>
                    <wp:lineTo x="687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C212" w14:textId="532DBB21" w:rsidR="00F867EB" w:rsidRDefault="00F867EB" w:rsidP="00F867EB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Zużycie</w:t>
                            </w:r>
                            <w:r w:rsidR="00D11AC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energii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transporcie drogowym wzrosło o 42% w latach 2006-2016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081E" id="Pole tekstowe 17" o:spid="_x0000_s1036" type="#_x0000_t202" style="position:absolute;margin-left:412.85pt;margin-top:13.15pt;width:141.45pt;height:121.8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" filled="f" stroked="f">
                <v:textbox>
                  <w:txbxContent>
                    <w:p w14:paraId="1871C212" w14:textId="532DBB21" w:rsidR="00F867EB" w:rsidRDefault="00F867EB" w:rsidP="00F867EB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Zużycie</w:t>
                      </w:r>
                      <w:r w:rsidR="00D11AC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energii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transporcie drogowym wzrosło o 42% w latach 2006-2016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ECDC7" w14:textId="5497BB2C" w:rsidR="00F867EB" w:rsidRPr="00EB3CBC" w:rsidRDefault="00EB3CBC" w:rsidP="00F867EB">
      <w:pPr>
        <w:jc w:val="both"/>
      </w:pPr>
      <w:r w:rsidRPr="00EB3CBC">
        <w:t>W transporcie w 2016 r. p</w:t>
      </w:r>
      <w:r w:rsidR="00F867EB" w:rsidRPr="00EB3CBC">
        <w:t xml:space="preserve">onad 94% energii zostało zużyte w transporcie drogowym, poniżej 4% energii zostało zużyte w transporcie lotniczym, poniżej 2% w transporcie kolejowym, a </w:t>
      </w:r>
      <w:r>
        <w:t>minimalne</w:t>
      </w:r>
      <w:r w:rsidR="00F867EB" w:rsidRPr="00EB3CBC">
        <w:t xml:space="preserve"> ilości przez żeglugę śródlądową i przybrzeżną.</w:t>
      </w:r>
    </w:p>
    <w:p w14:paraId="72593E4E" w14:textId="3C1154C4" w:rsidR="00F867EB" w:rsidRPr="00EB3CBC" w:rsidRDefault="00F867EB" w:rsidP="00F867EB">
      <w:pPr>
        <w:jc w:val="both"/>
      </w:pPr>
      <w:r w:rsidRPr="00EB3CBC">
        <w:t xml:space="preserve">Zużycie paliw w transporcie drogowym </w:t>
      </w:r>
      <w:r w:rsidR="0082533B">
        <w:t>w latach</w:t>
      </w:r>
      <w:r w:rsidRPr="00EB3CBC">
        <w:t xml:space="preserve"> </w:t>
      </w:r>
      <w:r w:rsidR="0082533B">
        <w:t>2006 –</w:t>
      </w:r>
      <w:r w:rsidRPr="00EB3CBC">
        <w:t xml:space="preserve"> 2016 zwiększyło się o 42% (roczne tempo wzrostu 3,5%), przy jednoczesnym wyraźnym spadku zużycia energii w transporcie kolejowym. Ogółem średnie roczne tempo wzrostu zużycia paliw w transporcie (bez transportu lotniczego) wyniosło 3,1% w latach 2007-2016</w:t>
      </w:r>
      <w:r w:rsidR="00143BC3">
        <w:t>.</w:t>
      </w:r>
    </w:p>
    <w:p w14:paraId="64B82F91" w14:textId="77777777" w:rsidR="00F867EB" w:rsidRDefault="00F867EB" w:rsidP="00E3795E">
      <w:pPr>
        <w:jc w:val="both"/>
        <w:rPr>
          <w:sz w:val="18"/>
        </w:rPr>
      </w:pPr>
    </w:p>
    <w:p w14:paraId="3FDB2B34" w14:textId="77777777" w:rsidR="00F867EB" w:rsidRDefault="00F867EB" w:rsidP="00E3795E">
      <w:pPr>
        <w:jc w:val="both"/>
        <w:rPr>
          <w:sz w:val="18"/>
        </w:rPr>
      </w:pPr>
    </w:p>
    <w:p w14:paraId="67607CEB" w14:textId="3667A3E9" w:rsidR="00F867EB" w:rsidRDefault="00F867EB" w:rsidP="00F867EB">
      <w:pPr>
        <w:pStyle w:val="Nagwek1"/>
      </w:pPr>
      <w:r w:rsidRPr="00021B0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02444858" wp14:editId="109818DC">
                <wp:simplePos x="0" y="0"/>
                <wp:positionH relativeFrom="column">
                  <wp:posOffset>5210175</wp:posOffset>
                </wp:positionH>
                <wp:positionV relativeFrom="paragraph">
                  <wp:posOffset>0</wp:posOffset>
                </wp:positionV>
                <wp:extent cx="1796415" cy="1546860"/>
                <wp:effectExtent l="0" t="0" r="0" b="0"/>
                <wp:wrapTight wrapText="bothSides">
                  <wp:wrapPolygon edited="0">
                    <wp:start x="687" y="0"/>
                    <wp:lineTo x="687" y="21281"/>
                    <wp:lineTo x="20844" y="21281"/>
                    <wp:lineTo x="20844" y="0"/>
                    <wp:lineTo x="687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B661" w14:textId="36407323" w:rsidR="00F867EB" w:rsidRDefault="00F867EB" w:rsidP="00F867EB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4858" id="Pole tekstowe 19" o:spid="_x0000_s1037" type="#_x0000_t202" style="position:absolute;margin-left:410.25pt;margin-top:0;width:141.45pt;height:121.8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" filled="f" stroked="f">
                <v:textbox>
                  <w:txbxContent>
                    <w:p w14:paraId="235AB661" w14:textId="36407323" w:rsidR="00F867EB" w:rsidRDefault="00F867EB" w:rsidP="00F867EB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A52F0A" w14:textId="00A2C68E" w:rsidR="00F867EB" w:rsidRPr="003A6392" w:rsidRDefault="00F867EB" w:rsidP="00F867EB">
      <w:pPr>
        <w:jc w:val="both"/>
      </w:pPr>
      <w:r w:rsidRPr="003A6392">
        <w:t>Finalne zużycie energii w przemyśle osiągnęło największą wartość w roku 2007</w:t>
      </w:r>
      <w:r w:rsidR="00EF09C2">
        <w:t>,</w:t>
      </w:r>
      <w:r w:rsidRPr="003A6392">
        <w:t xml:space="preserve"> kiedy wyniosło 15 </w:t>
      </w:r>
      <w:proofErr w:type="spellStart"/>
      <w:r w:rsidRPr="003A6392">
        <w:t>Mtoe</w:t>
      </w:r>
      <w:proofErr w:type="spellEnd"/>
      <w:r w:rsidRPr="003A6392">
        <w:t xml:space="preserve">, a najniższą </w:t>
      </w:r>
      <w:r w:rsidR="003A6392" w:rsidRPr="003A6392">
        <w:t>(</w:t>
      </w:r>
      <w:r w:rsidRPr="003A6392">
        <w:t xml:space="preserve">13 </w:t>
      </w:r>
      <w:proofErr w:type="spellStart"/>
      <w:r w:rsidRPr="003A6392">
        <w:t>Mtoe</w:t>
      </w:r>
      <w:proofErr w:type="spellEnd"/>
      <w:r w:rsidR="003A6392" w:rsidRPr="003A6392">
        <w:t>)</w:t>
      </w:r>
      <w:r w:rsidRPr="003A6392">
        <w:t xml:space="preserve"> dwa lata później. W 2016 r. zużycie wyniosło 14,8 </w:t>
      </w:r>
      <w:proofErr w:type="spellStart"/>
      <w:r w:rsidRPr="003A6392">
        <w:t>Mtoe</w:t>
      </w:r>
      <w:proofErr w:type="spellEnd"/>
      <w:r w:rsidRPr="003A6392">
        <w:t>.</w:t>
      </w:r>
    </w:p>
    <w:p w14:paraId="0B0A9383" w14:textId="2CEBAD19" w:rsidR="00F867EB" w:rsidRPr="00907225" w:rsidRDefault="00F867EB" w:rsidP="00F867EB">
      <w:pPr>
        <w:jc w:val="both"/>
      </w:pPr>
      <w:r w:rsidRPr="00907225">
        <w:t xml:space="preserve">Największy spadek zużycia nastąpił w przypadku paliw ciekłych (spadek o 53%). Zmniejszeniu uległo także zużycie ciepła (o 38%) oraz węgla (o 21%). Wzrosło natomiast zużycie gazu (o 2%), energii elektrycznej (o 21%) oraz pozostałych nośników </w:t>
      </w:r>
      <w:r w:rsidR="00907225">
        <w:t>(</w:t>
      </w:r>
      <w:r w:rsidRPr="00907225">
        <w:t>o 115%</w:t>
      </w:r>
      <w:r w:rsidR="00907225">
        <w:t>)</w:t>
      </w:r>
      <w:r w:rsidRPr="00907225">
        <w:t>.</w:t>
      </w:r>
    </w:p>
    <w:p w14:paraId="2FC9CC40" w14:textId="77777777" w:rsidR="00F867EB" w:rsidRDefault="00F867EB" w:rsidP="00F867EB">
      <w:pPr>
        <w:jc w:val="both"/>
        <w:rPr>
          <w:sz w:val="18"/>
        </w:rPr>
      </w:pPr>
    </w:p>
    <w:p w14:paraId="19BC6B8D" w14:textId="77777777" w:rsidR="008E6E6D" w:rsidRDefault="008E6E6D" w:rsidP="00F867EB">
      <w:pPr>
        <w:jc w:val="both"/>
        <w:rPr>
          <w:b/>
        </w:rPr>
      </w:pPr>
    </w:p>
    <w:p w14:paraId="6C76D244" w14:textId="77777777" w:rsidR="008E6E6D" w:rsidRDefault="008E6E6D" w:rsidP="00F867EB">
      <w:pPr>
        <w:jc w:val="both"/>
        <w:rPr>
          <w:b/>
        </w:rPr>
      </w:pPr>
    </w:p>
    <w:p w14:paraId="256D76F0" w14:textId="77777777" w:rsidR="008E6E6D" w:rsidRDefault="008E6E6D" w:rsidP="00F867EB">
      <w:pPr>
        <w:jc w:val="both"/>
        <w:rPr>
          <w:b/>
        </w:rPr>
      </w:pPr>
    </w:p>
    <w:p w14:paraId="73788EF4" w14:textId="77777777" w:rsidR="008E6E6D" w:rsidRDefault="008E6E6D" w:rsidP="00F867EB">
      <w:pPr>
        <w:jc w:val="both"/>
        <w:rPr>
          <w:b/>
        </w:rPr>
      </w:pPr>
    </w:p>
    <w:p w14:paraId="73112890" w14:textId="77777777" w:rsidR="008E6E6D" w:rsidRDefault="008E6E6D" w:rsidP="00F867EB">
      <w:pPr>
        <w:jc w:val="both"/>
        <w:rPr>
          <w:b/>
        </w:rPr>
      </w:pPr>
    </w:p>
    <w:p w14:paraId="484EA636" w14:textId="77777777" w:rsidR="008E6E6D" w:rsidRDefault="008E6E6D" w:rsidP="00F867EB">
      <w:pPr>
        <w:jc w:val="both"/>
        <w:rPr>
          <w:b/>
        </w:rPr>
      </w:pPr>
    </w:p>
    <w:p w14:paraId="0C4B30C6" w14:textId="77777777" w:rsidR="008E6E6D" w:rsidRDefault="008E6E6D" w:rsidP="00F867EB">
      <w:pPr>
        <w:jc w:val="both"/>
        <w:rPr>
          <w:b/>
        </w:rPr>
      </w:pPr>
    </w:p>
    <w:p w14:paraId="090A473B" w14:textId="6C49C66E" w:rsidR="00F867EB" w:rsidRPr="00507FDA" w:rsidRDefault="00F867EB" w:rsidP="00E3795E">
      <w:pPr>
        <w:jc w:val="both"/>
        <w:rPr>
          <w:sz w:val="18"/>
        </w:rPr>
        <w:sectPr w:rsidR="00F867EB" w:rsidRPr="00507FDA" w:rsidSect="00A355AD">
          <w:headerReference w:type="default" r:id="rId17"/>
          <w:footerReference w:type="default" r:id="rId18"/>
          <w:headerReference w:type="first" r:id="rId19"/>
          <w:pgSz w:w="11906" w:h="16838"/>
          <w:pgMar w:top="720" w:right="3119" w:bottom="720" w:left="720" w:header="170" w:footer="397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A355AD" w14:paraId="3722D938" w14:textId="77777777" w:rsidTr="008F1896">
        <w:trPr>
          <w:trHeight w:val="1912"/>
        </w:trPr>
        <w:tc>
          <w:tcPr>
            <w:tcW w:w="4255" w:type="dxa"/>
          </w:tcPr>
          <w:p w14:paraId="6A5B4A5E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4B40F13B" w14:textId="77777777"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DE553B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157352A8" w14:textId="77777777" w:rsidR="008F1896" w:rsidRPr="00954B4D" w:rsidRDefault="00DE553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Grażyna Berent-Kowalska</w:t>
            </w:r>
          </w:p>
          <w:p w14:paraId="0436B1EE" w14:textId="77777777"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DE553B">
              <w:rPr>
                <w:rFonts w:cs="Arial"/>
                <w:color w:val="000000" w:themeColor="text1"/>
                <w:sz w:val="20"/>
                <w:lang w:val="en-US"/>
              </w:rPr>
              <w:t xml:space="preserve"> 608 37 32</w:t>
            </w:r>
          </w:p>
          <w:p w14:paraId="4154A218" w14:textId="77777777"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0" w:history="1">
              <w:r w:rsidR="00DE553B" w:rsidRPr="002B121E">
                <w:rPr>
                  <w:rStyle w:val="Hipercze"/>
                  <w:rFonts w:cs="Arial"/>
                  <w:b/>
                  <w:sz w:val="20"/>
                  <w:lang w:val="en-US"/>
                </w:rPr>
                <w:t>G.Berent-Kowalska@stat.gov.pl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14:paraId="66DB5A1E" w14:textId="77777777" w:rsidR="008F1896" w:rsidRPr="003A30B0" w:rsidRDefault="00DE553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GB"/>
              </w:rPr>
            </w:pPr>
            <w:r w:rsidRPr="003A30B0">
              <w:rPr>
                <w:rFonts w:cs="Arial"/>
                <w:b/>
                <w:color w:val="000000" w:themeColor="text1"/>
                <w:sz w:val="20"/>
                <w:lang w:val="en-GB"/>
              </w:rPr>
              <w:t xml:space="preserve">Szymon </w:t>
            </w:r>
            <w:proofErr w:type="spellStart"/>
            <w:r w:rsidRPr="003A30B0">
              <w:rPr>
                <w:rFonts w:cs="Arial"/>
                <w:b/>
                <w:color w:val="000000" w:themeColor="text1"/>
                <w:sz w:val="20"/>
                <w:lang w:val="en-GB"/>
              </w:rPr>
              <w:t>Peryt</w:t>
            </w:r>
            <w:proofErr w:type="spellEnd"/>
          </w:p>
          <w:p w14:paraId="081D2438" w14:textId="77777777" w:rsidR="008F1896" w:rsidRPr="003A30B0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GB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3A30B0">
              <w:rPr>
                <w:rFonts w:cs="Arial"/>
                <w:color w:val="000000" w:themeColor="text1"/>
                <w:sz w:val="20"/>
                <w:lang w:val="en-GB"/>
              </w:rPr>
              <w:t xml:space="preserve"> 608 </w:t>
            </w:r>
            <w:r w:rsidR="00DE553B" w:rsidRPr="003A30B0">
              <w:rPr>
                <w:rFonts w:cs="Arial"/>
                <w:color w:val="000000" w:themeColor="text1"/>
                <w:sz w:val="20"/>
                <w:lang w:val="en-GB"/>
              </w:rPr>
              <w:t>33 89</w:t>
            </w:r>
          </w:p>
          <w:p w14:paraId="61031A5C" w14:textId="77777777" w:rsidR="008F1896" w:rsidRPr="008F3638" w:rsidRDefault="008F1896" w:rsidP="00DE553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54B4D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1" w:history="1">
              <w:r w:rsidR="00DE553B" w:rsidRPr="002B121E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S.Peryt@stat.gov.pl</w:t>
              </w:r>
            </w:hyperlink>
          </w:p>
        </w:tc>
        <w:tc>
          <w:tcPr>
            <w:tcW w:w="3812" w:type="dxa"/>
          </w:tcPr>
          <w:p w14:paraId="4F172718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6439E3B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2B1A2775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25688E2B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4EF40BC4" w14:textId="77777777"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14:paraId="3D5161E0" w14:textId="77777777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374308E" w14:textId="77777777"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B775C9A" w14:textId="77777777"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14:paraId="4D284F72" w14:textId="77777777" w:rsidR="008F1896" w:rsidRPr="003A30B0" w:rsidRDefault="008F1896" w:rsidP="008F1896">
            <w:pPr>
              <w:rPr>
                <w:sz w:val="20"/>
                <w:lang w:val="en-GB"/>
              </w:rPr>
            </w:pPr>
            <w:proofErr w:type="spellStart"/>
            <w:r w:rsidRPr="003A30B0">
              <w:rPr>
                <w:b/>
                <w:sz w:val="20"/>
                <w:lang w:val="en-GB"/>
              </w:rPr>
              <w:t>faks</w:t>
            </w:r>
            <w:proofErr w:type="spellEnd"/>
            <w:r w:rsidRPr="003A30B0">
              <w:rPr>
                <w:b/>
                <w:sz w:val="20"/>
                <w:lang w:val="en-GB"/>
              </w:rPr>
              <w:t>:</w:t>
            </w:r>
            <w:r w:rsidRPr="003A30B0">
              <w:rPr>
                <w:sz w:val="20"/>
                <w:lang w:val="en-GB"/>
              </w:rPr>
              <w:t xml:space="preserve"> (+48 22) 608 38 86 </w:t>
            </w:r>
          </w:p>
          <w:p w14:paraId="1E7C978A" w14:textId="77777777"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3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CCE5BC8" w14:textId="77777777"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ADB116C" wp14:editId="1138186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3A3C88C" w14:textId="77777777" w:rsidR="008F1896" w:rsidRPr="00174419" w:rsidRDefault="0002682B" w:rsidP="008F1896">
            <w:pPr>
              <w:rPr>
                <w:sz w:val="20"/>
                <w:szCs w:val="20"/>
              </w:rPr>
            </w:pPr>
            <w:hyperlink r:id="rId25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14:paraId="6BFCD3AD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76249EFF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5F4878E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300CFBCA" wp14:editId="7D243C1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015A95" w14:textId="77777777"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14:paraId="6066CB6E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5D5193F9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DA6A8AD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722211AC" wp14:editId="200CF3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DA1B9EF" w14:textId="77777777"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62973159" w14:textId="77777777" w:rsidR="008F1896" w:rsidRDefault="008F1896" w:rsidP="00E76D26">
      <w:pPr>
        <w:rPr>
          <w:sz w:val="18"/>
        </w:rPr>
      </w:pPr>
    </w:p>
    <w:p w14:paraId="6D8DD32C" w14:textId="77777777"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D679B8" wp14:editId="5E0862CE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C800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9A05AE0" w14:textId="77777777" w:rsidR="00AB6D25" w:rsidRPr="00B640B3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B640B3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7C7794E" w14:textId="2A8566C0" w:rsidR="00090E9E" w:rsidRPr="00090E9E" w:rsidRDefault="0002682B" w:rsidP="001D6DF8">
                            <w:pPr>
                              <w:rPr>
                                <w:rFonts w:cs="Times New Roman"/>
                                <w:color w:val="0000FF"/>
                                <w:u w:val="single"/>
                              </w:rPr>
                            </w:pPr>
                            <w:hyperlink r:id="rId28" w:history="1">
                              <w:r w:rsidR="001D6DF8" w:rsidRPr="00090E9E">
                                <w:rPr>
                                  <w:rStyle w:val="Hipercze"/>
                                </w:rPr>
                                <w:t>Gospodarka-Paliwowo-Energetyczna</w:t>
                              </w:r>
                            </w:hyperlink>
                          </w:p>
                          <w:p w14:paraId="0BBD897A" w14:textId="77777777" w:rsidR="001D6DF8" w:rsidRPr="00090E9E" w:rsidRDefault="0002682B" w:rsidP="001D6DF8">
                            <w:pPr>
                              <w:rPr>
                                <w:color w:val="0000FF"/>
                              </w:rPr>
                            </w:pPr>
                            <w:hyperlink r:id="rId29" w:history="1">
                              <w:r w:rsidR="001D6DF8" w:rsidRPr="00090E9E">
                                <w:rPr>
                                  <w:rStyle w:val="Hipercze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14:paraId="77BAA4BE" w14:textId="77777777" w:rsidR="001D6DF8" w:rsidRPr="00090E9E" w:rsidRDefault="0002682B" w:rsidP="001D6DF8">
                            <w:pPr>
                              <w:rPr>
                                <w:color w:val="0000FF"/>
                              </w:rPr>
                            </w:pPr>
                            <w:hyperlink r:id="rId30" w:history="1">
                              <w:r w:rsidR="001D6DF8" w:rsidRPr="00090E9E">
                                <w:rPr>
                                  <w:rStyle w:val="Hipercze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14:paraId="1B640527" w14:textId="77777777" w:rsidR="003A30B0" w:rsidRPr="00B640B3" w:rsidRDefault="003A30B0" w:rsidP="00643957"/>
                          <w:p w14:paraId="34D32C21" w14:textId="77777777" w:rsidR="00AB6D25" w:rsidRPr="00B640B3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640B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24E1099" w14:textId="02CD2EED" w:rsidR="003A30B0" w:rsidRPr="00090E9E" w:rsidRDefault="0002682B" w:rsidP="00643957">
                            <w:pPr>
                              <w:rPr>
                                <w:color w:val="0000FF"/>
                              </w:rPr>
                            </w:pPr>
                            <w:hyperlink r:id="rId31" w:history="1">
                              <w:r w:rsidR="0006777E" w:rsidRPr="00090E9E">
                                <w:rPr>
                                  <w:rStyle w:val="Hipercze"/>
                                </w:rPr>
                                <w:t>Dziedzinowa Baza Wiedzy - Gospodarka Paliwowo Energetyczna</w:t>
                              </w:r>
                            </w:hyperlink>
                          </w:p>
                          <w:p w14:paraId="515AAEFD" w14:textId="77777777" w:rsidR="00643957" w:rsidRPr="00090E9E" w:rsidRDefault="0002682B" w:rsidP="00643957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hyperlink r:id="rId32" w:history="1">
                              <w:r w:rsidR="00643957" w:rsidRPr="00090E9E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14:paraId="1EF80C42" w14:textId="77777777" w:rsidR="00575D28" w:rsidRPr="00090E9E" w:rsidRDefault="0002682B" w:rsidP="00643957">
                            <w:pPr>
                              <w:rPr>
                                <w:color w:val="0000FF"/>
                              </w:rPr>
                            </w:pPr>
                            <w:hyperlink r:id="rId33" w:history="1">
                              <w:r w:rsidR="000B0A9C" w:rsidRPr="00090E9E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090E9E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14:paraId="361A8F9E" w14:textId="77777777" w:rsidR="00ED2F18" w:rsidRPr="00B640B3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34047E6F" w14:textId="77777777" w:rsidR="00AB6D25" w:rsidRPr="00B640B3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640B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67266748" w14:textId="7FD46F73" w:rsidR="003A30B0" w:rsidRPr="00090E9E" w:rsidRDefault="0002682B" w:rsidP="00643957">
                            <w:pPr>
                              <w:rPr>
                                <w:color w:val="0000FF"/>
                                <w:szCs w:val="19"/>
                              </w:rPr>
                            </w:pPr>
                            <w:hyperlink r:id="rId34" w:history="1">
                              <w:r w:rsidR="003A30B0" w:rsidRPr="00090E9E">
                                <w:rPr>
                                  <w:rStyle w:val="Hipercze"/>
                                  <w:szCs w:val="19"/>
                                </w:rPr>
                                <w:t>Energia pierwotna</w:t>
                              </w:r>
                            </w:hyperlink>
                          </w:p>
                          <w:p w14:paraId="13C47F19" w14:textId="17ACA44A" w:rsidR="003A30B0" w:rsidRPr="00090E9E" w:rsidRDefault="0002682B" w:rsidP="00643957">
                            <w:pPr>
                              <w:rPr>
                                <w:color w:val="0000FF"/>
                                <w:szCs w:val="19"/>
                              </w:rPr>
                            </w:pPr>
                            <w:hyperlink r:id="rId35" w:history="1">
                              <w:r w:rsidR="003A30B0" w:rsidRPr="00090E9E">
                                <w:rPr>
                                  <w:rStyle w:val="Hipercze"/>
                                  <w:szCs w:val="19"/>
                                </w:rPr>
                                <w:t>Energia pochodna</w:t>
                              </w:r>
                            </w:hyperlink>
                          </w:p>
                          <w:p w14:paraId="55275D4F" w14:textId="37C8C831" w:rsidR="003A30B0" w:rsidRPr="00090E9E" w:rsidRDefault="0002682B" w:rsidP="00643957">
                            <w:pPr>
                              <w:rPr>
                                <w:color w:val="0000FF"/>
                                <w:szCs w:val="19"/>
                              </w:rPr>
                            </w:pPr>
                            <w:hyperlink r:id="rId36" w:history="1">
                              <w:r w:rsidR="003A30B0" w:rsidRPr="00090E9E">
                                <w:rPr>
                                  <w:rStyle w:val="Hipercze"/>
                                  <w:szCs w:val="19"/>
                                </w:rPr>
                                <w:t>Zużycie energii</w:t>
                              </w:r>
                            </w:hyperlink>
                          </w:p>
                          <w:p w14:paraId="69BFE2A2" w14:textId="77777777" w:rsidR="003A30B0" w:rsidRPr="003A30B0" w:rsidRDefault="003A30B0" w:rsidP="00643957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79B8" id="_x0000_s1038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BGPwIAAHQ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" fillcolor="#f2f2f2 [3052]" strokecolor="white [3212]">
                <v:textbox>
                  <w:txbxContent>
                    <w:p w14:paraId="2357C800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9A05AE0" w14:textId="77777777" w:rsidR="00AB6D25" w:rsidRPr="00B640B3" w:rsidRDefault="00AB6D25" w:rsidP="00AB6D25">
                      <w:pPr>
                        <w:rPr>
                          <w:b/>
                        </w:rPr>
                      </w:pPr>
                      <w:r w:rsidRPr="00B640B3">
                        <w:rPr>
                          <w:b/>
                        </w:rPr>
                        <w:t>Powiązane opracowania</w:t>
                      </w:r>
                    </w:p>
                    <w:p w14:paraId="27C7794E" w14:textId="2A8566C0" w:rsidR="00090E9E" w:rsidRPr="00090E9E" w:rsidRDefault="000529A0" w:rsidP="001D6DF8">
                      <w:pPr>
                        <w:rPr>
                          <w:rFonts w:cs="Times New Roman"/>
                          <w:color w:val="0000FF"/>
                          <w:u w:val="single"/>
                        </w:rPr>
                      </w:pPr>
                      <w:hyperlink r:id="rId37" w:history="1">
                        <w:r w:rsidR="001D6DF8" w:rsidRPr="00090E9E">
                          <w:rPr>
                            <w:rStyle w:val="Hipercze"/>
                          </w:rPr>
                          <w:t>Gospodarka-Paliwowo-Energetyczna</w:t>
                        </w:r>
                      </w:hyperlink>
                    </w:p>
                    <w:p w14:paraId="0BBD897A" w14:textId="77777777" w:rsidR="001D6DF8" w:rsidRPr="00090E9E" w:rsidRDefault="000529A0" w:rsidP="001D6DF8">
                      <w:pPr>
                        <w:rPr>
                          <w:color w:val="0000FF"/>
                        </w:rPr>
                      </w:pPr>
                      <w:hyperlink r:id="rId38" w:history="1">
                        <w:r w:rsidR="001D6DF8" w:rsidRPr="00090E9E">
                          <w:rPr>
                            <w:rStyle w:val="Hipercze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14:paraId="77BAA4BE" w14:textId="77777777" w:rsidR="001D6DF8" w:rsidRPr="00090E9E" w:rsidRDefault="000529A0" w:rsidP="001D6DF8">
                      <w:pPr>
                        <w:rPr>
                          <w:color w:val="0000FF"/>
                        </w:rPr>
                      </w:pPr>
                      <w:hyperlink r:id="rId39" w:history="1">
                        <w:r w:rsidR="001D6DF8" w:rsidRPr="00090E9E">
                          <w:rPr>
                            <w:rStyle w:val="Hipercze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14:paraId="1B640527" w14:textId="77777777" w:rsidR="003A30B0" w:rsidRPr="00B640B3" w:rsidRDefault="003A30B0" w:rsidP="00643957"/>
                    <w:p w14:paraId="34D32C21" w14:textId="77777777" w:rsidR="00AB6D25" w:rsidRPr="00B640B3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640B3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24E1099" w14:textId="02CD2EED" w:rsidR="003A30B0" w:rsidRPr="00090E9E" w:rsidRDefault="000529A0" w:rsidP="00643957">
                      <w:pPr>
                        <w:rPr>
                          <w:color w:val="0000FF"/>
                        </w:rPr>
                      </w:pPr>
                      <w:hyperlink r:id="rId40" w:history="1">
                        <w:r w:rsidR="0006777E" w:rsidRPr="00090E9E">
                          <w:rPr>
                            <w:rStyle w:val="Hipercze"/>
                          </w:rPr>
                          <w:t>Dziedzinowa Baza Wiedzy - Gospodarka Paliwowo Energetyczna</w:t>
                        </w:r>
                      </w:hyperlink>
                    </w:p>
                    <w:p w14:paraId="515AAEFD" w14:textId="77777777" w:rsidR="00643957" w:rsidRPr="00090E9E" w:rsidRDefault="000529A0" w:rsidP="00643957">
                      <w:pPr>
                        <w:rPr>
                          <w:color w:val="0000FF"/>
                          <w:u w:val="single"/>
                        </w:rPr>
                      </w:pPr>
                      <w:hyperlink r:id="rId41" w:history="1">
                        <w:r w:rsidR="00643957" w:rsidRPr="00090E9E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14:paraId="1EF80C42" w14:textId="77777777" w:rsidR="00575D28" w:rsidRPr="00090E9E" w:rsidRDefault="000529A0" w:rsidP="00643957">
                      <w:pPr>
                        <w:rPr>
                          <w:color w:val="0000FF"/>
                        </w:rPr>
                      </w:pPr>
                      <w:hyperlink r:id="rId42" w:history="1">
                        <w:r w:rsidR="000B0A9C" w:rsidRPr="00090E9E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090E9E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14:paraId="361A8F9E" w14:textId="77777777" w:rsidR="00ED2F18" w:rsidRPr="00B640B3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34047E6F" w14:textId="77777777" w:rsidR="00AB6D25" w:rsidRPr="00B640B3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640B3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67266748" w14:textId="7FD46F73" w:rsidR="003A30B0" w:rsidRPr="00090E9E" w:rsidRDefault="000529A0" w:rsidP="00643957">
                      <w:pPr>
                        <w:rPr>
                          <w:color w:val="0000FF"/>
                          <w:szCs w:val="19"/>
                        </w:rPr>
                      </w:pPr>
                      <w:hyperlink r:id="rId43" w:history="1">
                        <w:r w:rsidR="003A30B0" w:rsidRPr="00090E9E">
                          <w:rPr>
                            <w:rStyle w:val="Hipercze"/>
                            <w:szCs w:val="19"/>
                          </w:rPr>
                          <w:t>Energia pierwotna</w:t>
                        </w:r>
                      </w:hyperlink>
                    </w:p>
                    <w:p w14:paraId="13C47F19" w14:textId="17ACA44A" w:rsidR="003A30B0" w:rsidRPr="00090E9E" w:rsidRDefault="000529A0" w:rsidP="00643957">
                      <w:pPr>
                        <w:rPr>
                          <w:color w:val="0000FF"/>
                          <w:szCs w:val="19"/>
                        </w:rPr>
                      </w:pPr>
                      <w:hyperlink r:id="rId44" w:history="1">
                        <w:r w:rsidR="003A30B0" w:rsidRPr="00090E9E">
                          <w:rPr>
                            <w:rStyle w:val="Hipercze"/>
                            <w:szCs w:val="19"/>
                          </w:rPr>
                          <w:t>Energia pochodna</w:t>
                        </w:r>
                      </w:hyperlink>
                    </w:p>
                    <w:p w14:paraId="55275D4F" w14:textId="37C8C831" w:rsidR="003A30B0" w:rsidRPr="00090E9E" w:rsidRDefault="000529A0" w:rsidP="00643957">
                      <w:pPr>
                        <w:rPr>
                          <w:color w:val="0000FF"/>
                          <w:szCs w:val="19"/>
                        </w:rPr>
                      </w:pPr>
                      <w:hyperlink r:id="rId45" w:history="1">
                        <w:r w:rsidR="003A30B0" w:rsidRPr="00090E9E">
                          <w:rPr>
                            <w:rStyle w:val="Hipercze"/>
                            <w:szCs w:val="19"/>
                          </w:rPr>
                          <w:t>Zużycie energii</w:t>
                        </w:r>
                      </w:hyperlink>
                    </w:p>
                    <w:p w14:paraId="69BFE2A2" w14:textId="77777777" w:rsidR="003A30B0" w:rsidRPr="003A30B0" w:rsidRDefault="003A30B0" w:rsidP="00643957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B28DB" w14:textId="77777777" w:rsidR="008F1896" w:rsidRDefault="008F1896" w:rsidP="00E76D26">
      <w:pPr>
        <w:rPr>
          <w:sz w:val="18"/>
        </w:rPr>
      </w:pPr>
    </w:p>
    <w:p w14:paraId="7C8B4CB8" w14:textId="77777777" w:rsidR="008F1896" w:rsidRDefault="008F1896" w:rsidP="00E76D26">
      <w:pPr>
        <w:rPr>
          <w:sz w:val="18"/>
        </w:rPr>
      </w:pPr>
    </w:p>
    <w:p w14:paraId="070B3618" w14:textId="77777777" w:rsidR="00D261A2" w:rsidRPr="00001C5B" w:rsidRDefault="00D261A2" w:rsidP="00E76D26">
      <w:pPr>
        <w:rPr>
          <w:sz w:val="18"/>
        </w:rPr>
      </w:pPr>
    </w:p>
    <w:sectPr w:rsidR="00D261A2" w:rsidRPr="00001C5B" w:rsidSect="00430A2E">
      <w:headerReference w:type="default" r:id="rId46"/>
      <w:pgSz w:w="11906" w:h="16838"/>
      <w:pgMar w:top="720" w:right="3119" w:bottom="720" w:left="720" w:header="170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F98E" w14:textId="77777777" w:rsidR="0002682B" w:rsidRDefault="0002682B" w:rsidP="000662E2">
      <w:pPr>
        <w:spacing w:after="0" w:line="240" w:lineRule="auto"/>
      </w:pPr>
      <w:r>
        <w:separator/>
      </w:r>
    </w:p>
  </w:endnote>
  <w:endnote w:type="continuationSeparator" w:id="0">
    <w:p w14:paraId="0C11BD12" w14:textId="77777777" w:rsidR="0002682B" w:rsidRDefault="000268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145576"/>
      <w:docPartObj>
        <w:docPartGallery w:val="Page Numbers (Bottom of Page)"/>
        <w:docPartUnique/>
      </w:docPartObj>
    </w:sdtPr>
    <w:sdtEndPr/>
    <w:sdtContent>
      <w:p w14:paraId="18226DED" w14:textId="579E830D" w:rsidR="00A355AD" w:rsidRDefault="00A35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E9">
          <w:rPr>
            <w:noProof/>
          </w:rPr>
          <w:t>2</w:t>
        </w:r>
        <w:r>
          <w:fldChar w:fldCharType="end"/>
        </w:r>
      </w:p>
    </w:sdtContent>
  </w:sdt>
  <w:p w14:paraId="71E70D01" w14:textId="77777777" w:rsidR="00CB22C7" w:rsidRDefault="00CB2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57D43" w14:textId="77777777" w:rsidR="0002682B" w:rsidRDefault="0002682B" w:rsidP="000662E2">
      <w:pPr>
        <w:spacing w:after="0" w:line="240" w:lineRule="auto"/>
      </w:pPr>
      <w:r>
        <w:separator/>
      </w:r>
    </w:p>
  </w:footnote>
  <w:footnote w:type="continuationSeparator" w:id="0">
    <w:p w14:paraId="091EA4ED" w14:textId="77777777" w:rsidR="0002682B" w:rsidRDefault="0002682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4ECD" w14:textId="6649946E"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08EC775" wp14:editId="2FD0274A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D8E43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FDEE" w14:textId="0F901259" w:rsidR="00A355AD" w:rsidRDefault="00A355AD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51C9755" wp14:editId="54E657CB">
          <wp:extent cx="1838325" cy="600075"/>
          <wp:effectExtent l="0" t="0" r="0" b="0"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7B34" w14:textId="77777777" w:rsidR="008F1896" w:rsidRDefault="008F1896">
    <w:pPr>
      <w:pStyle w:val="Nagwek"/>
    </w:pPr>
  </w:p>
  <w:p w14:paraId="7B0D5E84" w14:textId="77777777"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FA3"/>
    <w:rsid w:val="0000709F"/>
    <w:rsid w:val="000108B8"/>
    <w:rsid w:val="0001184D"/>
    <w:rsid w:val="00013323"/>
    <w:rsid w:val="000152F5"/>
    <w:rsid w:val="0001684B"/>
    <w:rsid w:val="0001763A"/>
    <w:rsid w:val="00021B0E"/>
    <w:rsid w:val="00022514"/>
    <w:rsid w:val="00025739"/>
    <w:rsid w:val="0002682B"/>
    <w:rsid w:val="000360CA"/>
    <w:rsid w:val="00036CDF"/>
    <w:rsid w:val="00037A14"/>
    <w:rsid w:val="00042EB9"/>
    <w:rsid w:val="00044AB5"/>
    <w:rsid w:val="0004582E"/>
    <w:rsid w:val="000470AA"/>
    <w:rsid w:val="00052281"/>
    <w:rsid w:val="0005280B"/>
    <w:rsid w:val="000529A0"/>
    <w:rsid w:val="00057CA1"/>
    <w:rsid w:val="000662E2"/>
    <w:rsid w:val="00066883"/>
    <w:rsid w:val="0006777E"/>
    <w:rsid w:val="0007220F"/>
    <w:rsid w:val="00074DD8"/>
    <w:rsid w:val="00075F08"/>
    <w:rsid w:val="000763F0"/>
    <w:rsid w:val="00076C31"/>
    <w:rsid w:val="00077121"/>
    <w:rsid w:val="00077961"/>
    <w:rsid w:val="000806F7"/>
    <w:rsid w:val="0008129D"/>
    <w:rsid w:val="00082130"/>
    <w:rsid w:val="00083AD4"/>
    <w:rsid w:val="000850BC"/>
    <w:rsid w:val="00090E9E"/>
    <w:rsid w:val="0009556C"/>
    <w:rsid w:val="000A0B6C"/>
    <w:rsid w:val="000A5EEA"/>
    <w:rsid w:val="000A7B6E"/>
    <w:rsid w:val="000B0727"/>
    <w:rsid w:val="000B0A9C"/>
    <w:rsid w:val="000B3D5D"/>
    <w:rsid w:val="000B7F30"/>
    <w:rsid w:val="000C03EC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7754"/>
    <w:rsid w:val="000E0918"/>
    <w:rsid w:val="000F40A3"/>
    <w:rsid w:val="000F5DD1"/>
    <w:rsid w:val="001011C3"/>
    <w:rsid w:val="001055A7"/>
    <w:rsid w:val="00110D87"/>
    <w:rsid w:val="001123D9"/>
    <w:rsid w:val="001130D6"/>
    <w:rsid w:val="00114DB9"/>
    <w:rsid w:val="00116087"/>
    <w:rsid w:val="00130296"/>
    <w:rsid w:val="00135CA6"/>
    <w:rsid w:val="001423B6"/>
    <w:rsid w:val="00143BC3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34E2"/>
    <w:rsid w:val="00192D3F"/>
    <w:rsid w:val="001951DA"/>
    <w:rsid w:val="001A013B"/>
    <w:rsid w:val="001B0659"/>
    <w:rsid w:val="001B2DAE"/>
    <w:rsid w:val="001B6243"/>
    <w:rsid w:val="001C235E"/>
    <w:rsid w:val="001C2BAD"/>
    <w:rsid w:val="001C3269"/>
    <w:rsid w:val="001C6CAC"/>
    <w:rsid w:val="001D0D90"/>
    <w:rsid w:val="001D115F"/>
    <w:rsid w:val="001D1DB4"/>
    <w:rsid w:val="001D3476"/>
    <w:rsid w:val="001D6DF8"/>
    <w:rsid w:val="001E0821"/>
    <w:rsid w:val="001E4F42"/>
    <w:rsid w:val="001E6093"/>
    <w:rsid w:val="001F023F"/>
    <w:rsid w:val="00214694"/>
    <w:rsid w:val="00232928"/>
    <w:rsid w:val="00232EE0"/>
    <w:rsid w:val="00233D39"/>
    <w:rsid w:val="002376C0"/>
    <w:rsid w:val="002568AB"/>
    <w:rsid w:val="002574F9"/>
    <w:rsid w:val="00263373"/>
    <w:rsid w:val="00272778"/>
    <w:rsid w:val="00276811"/>
    <w:rsid w:val="00282699"/>
    <w:rsid w:val="0028366C"/>
    <w:rsid w:val="002837F4"/>
    <w:rsid w:val="002847AA"/>
    <w:rsid w:val="00290365"/>
    <w:rsid w:val="002926DF"/>
    <w:rsid w:val="00296697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3A97"/>
    <w:rsid w:val="00334DDA"/>
    <w:rsid w:val="00343E5F"/>
    <w:rsid w:val="00347D72"/>
    <w:rsid w:val="00357611"/>
    <w:rsid w:val="003607A6"/>
    <w:rsid w:val="00367237"/>
    <w:rsid w:val="0037077F"/>
    <w:rsid w:val="00373882"/>
    <w:rsid w:val="0038300B"/>
    <w:rsid w:val="003843DB"/>
    <w:rsid w:val="00393761"/>
    <w:rsid w:val="00397D18"/>
    <w:rsid w:val="003A03E6"/>
    <w:rsid w:val="003A1B36"/>
    <w:rsid w:val="003A30B0"/>
    <w:rsid w:val="003A405E"/>
    <w:rsid w:val="003A4DC9"/>
    <w:rsid w:val="003A532D"/>
    <w:rsid w:val="003A6392"/>
    <w:rsid w:val="003B1454"/>
    <w:rsid w:val="003B1EE9"/>
    <w:rsid w:val="003B622D"/>
    <w:rsid w:val="003C0F90"/>
    <w:rsid w:val="003C59E0"/>
    <w:rsid w:val="003C5AB7"/>
    <w:rsid w:val="003C6BB9"/>
    <w:rsid w:val="003C6C8D"/>
    <w:rsid w:val="003D2A8C"/>
    <w:rsid w:val="003D3A6F"/>
    <w:rsid w:val="003D4F95"/>
    <w:rsid w:val="003D5D64"/>
    <w:rsid w:val="003D5F42"/>
    <w:rsid w:val="003D60A9"/>
    <w:rsid w:val="003D6100"/>
    <w:rsid w:val="003E3742"/>
    <w:rsid w:val="003F2A63"/>
    <w:rsid w:val="003F3148"/>
    <w:rsid w:val="003F4C97"/>
    <w:rsid w:val="003F58AC"/>
    <w:rsid w:val="003F7ED3"/>
    <w:rsid w:val="003F7FD5"/>
    <w:rsid w:val="003F7FE6"/>
    <w:rsid w:val="00400193"/>
    <w:rsid w:val="00402667"/>
    <w:rsid w:val="00406163"/>
    <w:rsid w:val="004212E7"/>
    <w:rsid w:val="0042446D"/>
    <w:rsid w:val="00424FE7"/>
    <w:rsid w:val="004252A3"/>
    <w:rsid w:val="00427BF8"/>
    <w:rsid w:val="00430079"/>
    <w:rsid w:val="00430A2E"/>
    <w:rsid w:val="00431C02"/>
    <w:rsid w:val="00437395"/>
    <w:rsid w:val="00445047"/>
    <w:rsid w:val="0045393B"/>
    <w:rsid w:val="00455F39"/>
    <w:rsid w:val="00461FC6"/>
    <w:rsid w:val="00463E39"/>
    <w:rsid w:val="004657FC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07C"/>
    <w:rsid w:val="004C36E2"/>
    <w:rsid w:val="004C46FE"/>
    <w:rsid w:val="004C6D40"/>
    <w:rsid w:val="004D7AD5"/>
    <w:rsid w:val="004E4328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0905"/>
    <w:rsid w:val="00533632"/>
    <w:rsid w:val="0054251F"/>
    <w:rsid w:val="00547DD0"/>
    <w:rsid w:val="00550618"/>
    <w:rsid w:val="00550FFC"/>
    <w:rsid w:val="005520D8"/>
    <w:rsid w:val="00556CF1"/>
    <w:rsid w:val="00557887"/>
    <w:rsid w:val="00563C76"/>
    <w:rsid w:val="005645ED"/>
    <w:rsid w:val="005722E0"/>
    <w:rsid w:val="00575940"/>
    <w:rsid w:val="00575D28"/>
    <w:rsid w:val="005762A7"/>
    <w:rsid w:val="005776BC"/>
    <w:rsid w:val="00581325"/>
    <w:rsid w:val="0058409F"/>
    <w:rsid w:val="005916D7"/>
    <w:rsid w:val="00591EBB"/>
    <w:rsid w:val="00593903"/>
    <w:rsid w:val="005A2411"/>
    <w:rsid w:val="005A2E64"/>
    <w:rsid w:val="005A53B6"/>
    <w:rsid w:val="005A5994"/>
    <w:rsid w:val="005A698C"/>
    <w:rsid w:val="005B294A"/>
    <w:rsid w:val="005B749F"/>
    <w:rsid w:val="005C18BD"/>
    <w:rsid w:val="005C63F1"/>
    <w:rsid w:val="005E0799"/>
    <w:rsid w:val="005E1BD0"/>
    <w:rsid w:val="005E7AA5"/>
    <w:rsid w:val="005F1E67"/>
    <w:rsid w:val="005F5A80"/>
    <w:rsid w:val="006044FF"/>
    <w:rsid w:val="00607CC5"/>
    <w:rsid w:val="0061167A"/>
    <w:rsid w:val="00614493"/>
    <w:rsid w:val="00622B75"/>
    <w:rsid w:val="00633014"/>
    <w:rsid w:val="00633EA6"/>
    <w:rsid w:val="0063437B"/>
    <w:rsid w:val="00643957"/>
    <w:rsid w:val="006460F8"/>
    <w:rsid w:val="0065120E"/>
    <w:rsid w:val="00667289"/>
    <w:rsid w:val="006672D5"/>
    <w:rsid w:val="006673CA"/>
    <w:rsid w:val="00673C26"/>
    <w:rsid w:val="00676552"/>
    <w:rsid w:val="006812AF"/>
    <w:rsid w:val="0068185F"/>
    <w:rsid w:val="0068327D"/>
    <w:rsid w:val="00684454"/>
    <w:rsid w:val="00694AF0"/>
    <w:rsid w:val="006959E8"/>
    <w:rsid w:val="00695C15"/>
    <w:rsid w:val="0069791B"/>
    <w:rsid w:val="006A33E7"/>
    <w:rsid w:val="006A6721"/>
    <w:rsid w:val="006B0E9E"/>
    <w:rsid w:val="006B2B1F"/>
    <w:rsid w:val="006B3384"/>
    <w:rsid w:val="006B5AE4"/>
    <w:rsid w:val="006C739F"/>
    <w:rsid w:val="006D4054"/>
    <w:rsid w:val="006D46F9"/>
    <w:rsid w:val="006D7265"/>
    <w:rsid w:val="006E02EC"/>
    <w:rsid w:val="006E42A0"/>
    <w:rsid w:val="006E711B"/>
    <w:rsid w:val="006F7CEE"/>
    <w:rsid w:val="007028FA"/>
    <w:rsid w:val="0071725E"/>
    <w:rsid w:val="0072092C"/>
    <w:rsid w:val="007211B1"/>
    <w:rsid w:val="0072190E"/>
    <w:rsid w:val="00724E6C"/>
    <w:rsid w:val="00732B5E"/>
    <w:rsid w:val="00741C70"/>
    <w:rsid w:val="00746187"/>
    <w:rsid w:val="00761B1A"/>
    <w:rsid w:val="0076254F"/>
    <w:rsid w:val="00762624"/>
    <w:rsid w:val="00763370"/>
    <w:rsid w:val="0077217E"/>
    <w:rsid w:val="007801F5"/>
    <w:rsid w:val="00783CA4"/>
    <w:rsid w:val="007842FB"/>
    <w:rsid w:val="00786124"/>
    <w:rsid w:val="00787CD9"/>
    <w:rsid w:val="00794ABF"/>
    <w:rsid w:val="0079514B"/>
    <w:rsid w:val="0079682F"/>
    <w:rsid w:val="007A2DC1"/>
    <w:rsid w:val="007A2EB9"/>
    <w:rsid w:val="007A73F5"/>
    <w:rsid w:val="007B4E61"/>
    <w:rsid w:val="007C73C2"/>
    <w:rsid w:val="007C79C9"/>
    <w:rsid w:val="007D3319"/>
    <w:rsid w:val="007D335D"/>
    <w:rsid w:val="007D7AE5"/>
    <w:rsid w:val="007E3314"/>
    <w:rsid w:val="007E4B03"/>
    <w:rsid w:val="007F324B"/>
    <w:rsid w:val="007F4108"/>
    <w:rsid w:val="00801E4E"/>
    <w:rsid w:val="0080553C"/>
    <w:rsid w:val="00805B46"/>
    <w:rsid w:val="00823814"/>
    <w:rsid w:val="0082533B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71D33"/>
    <w:rsid w:val="00881828"/>
    <w:rsid w:val="0088258A"/>
    <w:rsid w:val="00886332"/>
    <w:rsid w:val="008A26D9"/>
    <w:rsid w:val="008A4BEB"/>
    <w:rsid w:val="008C0C29"/>
    <w:rsid w:val="008C431E"/>
    <w:rsid w:val="008C44DA"/>
    <w:rsid w:val="008C5E1E"/>
    <w:rsid w:val="008C7BAC"/>
    <w:rsid w:val="008E32A6"/>
    <w:rsid w:val="008E6266"/>
    <w:rsid w:val="008E6E6D"/>
    <w:rsid w:val="008F1896"/>
    <w:rsid w:val="008F3638"/>
    <w:rsid w:val="008F4063"/>
    <w:rsid w:val="008F6F31"/>
    <w:rsid w:val="008F74DF"/>
    <w:rsid w:val="0090415A"/>
    <w:rsid w:val="00906035"/>
    <w:rsid w:val="00907225"/>
    <w:rsid w:val="009127BA"/>
    <w:rsid w:val="009160A8"/>
    <w:rsid w:val="009227A6"/>
    <w:rsid w:val="00924298"/>
    <w:rsid w:val="0092720A"/>
    <w:rsid w:val="00930C81"/>
    <w:rsid w:val="00933EC1"/>
    <w:rsid w:val="009354FF"/>
    <w:rsid w:val="009400A8"/>
    <w:rsid w:val="0094416F"/>
    <w:rsid w:val="009451ED"/>
    <w:rsid w:val="009530DB"/>
    <w:rsid w:val="0095331D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C5B"/>
    <w:rsid w:val="009F23BA"/>
    <w:rsid w:val="00A05838"/>
    <w:rsid w:val="00A072EE"/>
    <w:rsid w:val="00A139F5"/>
    <w:rsid w:val="00A24AC8"/>
    <w:rsid w:val="00A355AD"/>
    <w:rsid w:val="00A365F4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67FF3"/>
    <w:rsid w:val="00A72AC4"/>
    <w:rsid w:val="00A810F9"/>
    <w:rsid w:val="00A8219A"/>
    <w:rsid w:val="00A86ECC"/>
    <w:rsid w:val="00A86FCC"/>
    <w:rsid w:val="00A9351A"/>
    <w:rsid w:val="00AA0BAD"/>
    <w:rsid w:val="00AA710D"/>
    <w:rsid w:val="00AB3023"/>
    <w:rsid w:val="00AB6D25"/>
    <w:rsid w:val="00AC144D"/>
    <w:rsid w:val="00AD6497"/>
    <w:rsid w:val="00AE02E0"/>
    <w:rsid w:val="00AE2D4B"/>
    <w:rsid w:val="00AE4F99"/>
    <w:rsid w:val="00AF5018"/>
    <w:rsid w:val="00B06BC2"/>
    <w:rsid w:val="00B132C3"/>
    <w:rsid w:val="00B14952"/>
    <w:rsid w:val="00B30117"/>
    <w:rsid w:val="00B31E5A"/>
    <w:rsid w:val="00B3222E"/>
    <w:rsid w:val="00B5685C"/>
    <w:rsid w:val="00B640B3"/>
    <w:rsid w:val="00B65014"/>
    <w:rsid w:val="00B653AB"/>
    <w:rsid w:val="00B65F9E"/>
    <w:rsid w:val="00B663B4"/>
    <w:rsid w:val="00B66B19"/>
    <w:rsid w:val="00B66D71"/>
    <w:rsid w:val="00B711DC"/>
    <w:rsid w:val="00B73046"/>
    <w:rsid w:val="00B914E9"/>
    <w:rsid w:val="00B956EE"/>
    <w:rsid w:val="00BA2BA1"/>
    <w:rsid w:val="00BB36CB"/>
    <w:rsid w:val="00BB4E3C"/>
    <w:rsid w:val="00BB4F09"/>
    <w:rsid w:val="00BB74B8"/>
    <w:rsid w:val="00BC1797"/>
    <w:rsid w:val="00BD4E33"/>
    <w:rsid w:val="00BD79BE"/>
    <w:rsid w:val="00BE3861"/>
    <w:rsid w:val="00BE5D18"/>
    <w:rsid w:val="00BF1006"/>
    <w:rsid w:val="00C00370"/>
    <w:rsid w:val="00C0082C"/>
    <w:rsid w:val="00C030DE"/>
    <w:rsid w:val="00C22105"/>
    <w:rsid w:val="00C244B6"/>
    <w:rsid w:val="00C24B4A"/>
    <w:rsid w:val="00C2742C"/>
    <w:rsid w:val="00C275DE"/>
    <w:rsid w:val="00C31800"/>
    <w:rsid w:val="00C3702F"/>
    <w:rsid w:val="00C44F72"/>
    <w:rsid w:val="00C5101E"/>
    <w:rsid w:val="00C558B4"/>
    <w:rsid w:val="00C55B0D"/>
    <w:rsid w:val="00C64A37"/>
    <w:rsid w:val="00C64FB8"/>
    <w:rsid w:val="00C7030C"/>
    <w:rsid w:val="00C7117C"/>
    <w:rsid w:val="00C7158E"/>
    <w:rsid w:val="00C7250B"/>
    <w:rsid w:val="00C7346B"/>
    <w:rsid w:val="00C736D3"/>
    <w:rsid w:val="00C76634"/>
    <w:rsid w:val="00C77C0E"/>
    <w:rsid w:val="00C82D93"/>
    <w:rsid w:val="00C85E40"/>
    <w:rsid w:val="00C91687"/>
    <w:rsid w:val="00C924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22C7"/>
    <w:rsid w:val="00CC39FE"/>
    <w:rsid w:val="00CC4F59"/>
    <w:rsid w:val="00CC739E"/>
    <w:rsid w:val="00CD373B"/>
    <w:rsid w:val="00CD58B7"/>
    <w:rsid w:val="00CF1168"/>
    <w:rsid w:val="00CF4099"/>
    <w:rsid w:val="00CF6077"/>
    <w:rsid w:val="00CF7C3B"/>
    <w:rsid w:val="00D00796"/>
    <w:rsid w:val="00D01E2E"/>
    <w:rsid w:val="00D11ACB"/>
    <w:rsid w:val="00D12BF4"/>
    <w:rsid w:val="00D17A8D"/>
    <w:rsid w:val="00D20E52"/>
    <w:rsid w:val="00D261A2"/>
    <w:rsid w:val="00D33134"/>
    <w:rsid w:val="00D41ABA"/>
    <w:rsid w:val="00D52A54"/>
    <w:rsid w:val="00D56874"/>
    <w:rsid w:val="00D5786D"/>
    <w:rsid w:val="00D616BE"/>
    <w:rsid w:val="00D616D2"/>
    <w:rsid w:val="00D63B5F"/>
    <w:rsid w:val="00D674E0"/>
    <w:rsid w:val="00D70EF7"/>
    <w:rsid w:val="00D80066"/>
    <w:rsid w:val="00D8397C"/>
    <w:rsid w:val="00D86DE9"/>
    <w:rsid w:val="00D922C8"/>
    <w:rsid w:val="00D942BC"/>
    <w:rsid w:val="00D94EED"/>
    <w:rsid w:val="00D96026"/>
    <w:rsid w:val="00DA7C1C"/>
    <w:rsid w:val="00DB0202"/>
    <w:rsid w:val="00DB147A"/>
    <w:rsid w:val="00DB1B7A"/>
    <w:rsid w:val="00DB1D15"/>
    <w:rsid w:val="00DB1FBF"/>
    <w:rsid w:val="00DB54FC"/>
    <w:rsid w:val="00DB562E"/>
    <w:rsid w:val="00DC4543"/>
    <w:rsid w:val="00DC6708"/>
    <w:rsid w:val="00DD52B0"/>
    <w:rsid w:val="00DE553B"/>
    <w:rsid w:val="00DF4230"/>
    <w:rsid w:val="00DF7836"/>
    <w:rsid w:val="00E01436"/>
    <w:rsid w:val="00E045BD"/>
    <w:rsid w:val="00E125A2"/>
    <w:rsid w:val="00E17B77"/>
    <w:rsid w:val="00E23337"/>
    <w:rsid w:val="00E2509B"/>
    <w:rsid w:val="00E255AD"/>
    <w:rsid w:val="00E259EA"/>
    <w:rsid w:val="00E30915"/>
    <w:rsid w:val="00E32061"/>
    <w:rsid w:val="00E35249"/>
    <w:rsid w:val="00E3795E"/>
    <w:rsid w:val="00E42FF9"/>
    <w:rsid w:val="00E4714C"/>
    <w:rsid w:val="00E51AEB"/>
    <w:rsid w:val="00E522A7"/>
    <w:rsid w:val="00E54452"/>
    <w:rsid w:val="00E664C5"/>
    <w:rsid w:val="00E66890"/>
    <w:rsid w:val="00E671A2"/>
    <w:rsid w:val="00E72B2E"/>
    <w:rsid w:val="00E73157"/>
    <w:rsid w:val="00E76D26"/>
    <w:rsid w:val="00E7781B"/>
    <w:rsid w:val="00E828CB"/>
    <w:rsid w:val="00E94EC2"/>
    <w:rsid w:val="00E966AB"/>
    <w:rsid w:val="00EA2A04"/>
    <w:rsid w:val="00EA60EE"/>
    <w:rsid w:val="00EB1390"/>
    <w:rsid w:val="00EB2C71"/>
    <w:rsid w:val="00EB3CBC"/>
    <w:rsid w:val="00EB4340"/>
    <w:rsid w:val="00EB556D"/>
    <w:rsid w:val="00EB5A7D"/>
    <w:rsid w:val="00ED2F18"/>
    <w:rsid w:val="00ED3259"/>
    <w:rsid w:val="00ED55C0"/>
    <w:rsid w:val="00ED682B"/>
    <w:rsid w:val="00ED6A4A"/>
    <w:rsid w:val="00EE39D5"/>
    <w:rsid w:val="00EE41D5"/>
    <w:rsid w:val="00EF09C2"/>
    <w:rsid w:val="00F037A4"/>
    <w:rsid w:val="00F04CEF"/>
    <w:rsid w:val="00F1007C"/>
    <w:rsid w:val="00F16287"/>
    <w:rsid w:val="00F27C8F"/>
    <w:rsid w:val="00F30E49"/>
    <w:rsid w:val="00F32749"/>
    <w:rsid w:val="00F35F3D"/>
    <w:rsid w:val="00F37172"/>
    <w:rsid w:val="00F41E38"/>
    <w:rsid w:val="00F439C5"/>
    <w:rsid w:val="00F4477E"/>
    <w:rsid w:val="00F50274"/>
    <w:rsid w:val="00F561B1"/>
    <w:rsid w:val="00F561D4"/>
    <w:rsid w:val="00F645E3"/>
    <w:rsid w:val="00F67D8F"/>
    <w:rsid w:val="00F70E57"/>
    <w:rsid w:val="00F7377E"/>
    <w:rsid w:val="00F802BE"/>
    <w:rsid w:val="00F825C0"/>
    <w:rsid w:val="00F86024"/>
    <w:rsid w:val="00F8611A"/>
    <w:rsid w:val="00F867EB"/>
    <w:rsid w:val="00F9454E"/>
    <w:rsid w:val="00F959E3"/>
    <w:rsid w:val="00F963CF"/>
    <w:rsid w:val="00F97DD1"/>
    <w:rsid w:val="00FA374B"/>
    <w:rsid w:val="00FA414F"/>
    <w:rsid w:val="00FA5128"/>
    <w:rsid w:val="00FB42D4"/>
    <w:rsid w:val="00FB5906"/>
    <w:rsid w:val="00FB6AFD"/>
    <w:rsid w:val="00FB762F"/>
    <w:rsid w:val="00FB7BD7"/>
    <w:rsid w:val="00FC2AED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433A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21B0E"/>
    <w:pPr>
      <w:spacing w:before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1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footer" Target="footer1.xml"/><Relationship Id="rId26" Type="http://schemas.openxmlformats.org/officeDocument/2006/relationships/image" Target="media/image6.png"/><Relationship Id="rId39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21" Type="http://schemas.openxmlformats.org/officeDocument/2006/relationships/hyperlink" Target="mailto:S.Peryt@stat.gov.pl" TargetMode="External"/><Relationship Id="rId34" Type="http://schemas.openxmlformats.org/officeDocument/2006/relationships/hyperlink" Target="http://stat.gov.pl/metainformacje/slownik-pojec/pojecia-stosowane-w-statystyce-publicznej/93,pojecie.html" TargetMode="External"/><Relationship Id="rId42" Type="http://schemas.openxmlformats.org/officeDocument/2006/relationships/hyperlink" Target="http://bdm.stat.gov.pl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9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5.png"/><Relationship Id="rId32" Type="http://schemas.openxmlformats.org/officeDocument/2006/relationships/hyperlink" Target="http://stat.gov.pl/wskazniki-makroekonomiczne/" TargetMode="External"/><Relationship Id="rId37" Type="http://schemas.openxmlformats.org/officeDocument/2006/relationships/hyperlink" Target="http://stat.gov.pl/obszary-tematyczne/srodowisko-energia/energia/gospodarka-paliwowo-energetyczna-w-latach-2015-i-2016,4,12.html" TargetMode="External"/><Relationship Id="rId40" Type="http://schemas.openxmlformats.org/officeDocument/2006/relationships/hyperlink" Target="http://swaid.stat.gov.pl/SitePagesDBW/GospodarkaPaliwowoEn.aspx" TargetMode="External"/><Relationship Id="rId45" Type="http://schemas.openxmlformats.org/officeDocument/2006/relationships/hyperlink" Target="http://stat.gov.pl/metainformacje/slownik-pojec/pojecia-stosowane-w-statystyce-publicznej/672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srodowisko-energia/energia/gospodarka-paliwowo-energetyczna-w-latach-2015-i-2016,4,12.html" TargetMode="External"/><Relationship Id="rId36" Type="http://schemas.openxmlformats.org/officeDocument/2006/relationships/hyperlink" Target="http://stat.gov.pl/metainformacje/slownik-pojec/pojecia-stosowane-w-statystyce-publicznej/672,pojecie.html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://swaid.stat.gov.pl/SitePagesDBW/GospodarkaPaliwowoEn.aspx" TargetMode="External"/><Relationship Id="rId44" Type="http://schemas.openxmlformats.org/officeDocument/2006/relationships/hyperlink" Target="http://stat.gov.pl/metainformacje/slownik-pojec/pojecia-stosowane-w-statystyce-publicznej/94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hyperlink" Target="mailto:rzecznik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5" Type="http://schemas.openxmlformats.org/officeDocument/2006/relationships/hyperlink" Target="http://stat.gov.pl/metainformacje/slownik-pojec/pojecia-stosowane-w-statystyce-publicznej/94,pojecie.html" TargetMode="External"/><Relationship Id="rId43" Type="http://schemas.openxmlformats.org/officeDocument/2006/relationships/hyperlink" Target="http://stat.gov.pl/metainformacje/slownik-pojec/pojecia-stosowane-w-statystyce-publicznej/93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hyperlink" Target="http://stat.gov.pl/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6" Type="http://schemas.openxmlformats.org/officeDocument/2006/relationships/header" Target="header3.xml"/><Relationship Id="rId20" Type="http://schemas.openxmlformats.org/officeDocument/2006/relationships/hyperlink" Target="mailto:G.Berent-Kowalska@stat.gov.pl" TargetMode="External"/><Relationship Id="rId41" Type="http://schemas.openxmlformats.org/officeDocument/2006/relationships/hyperlink" Target="http://stat.gov.pl/wskazniki-makroekonomicz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Całkowite zużycie energii pierwotnej</c:v>
                </c:pt>
              </c:strCache>
            </c:strRef>
          </c:tx>
          <c:spPr>
            <a:ln w="28575" cap="flat">
              <a:solidFill>
                <a:srgbClr val="2F559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96.87</c:v>
                </c:pt>
                <c:pt idx="1">
                  <c:v>97.09</c:v>
                </c:pt>
                <c:pt idx="2">
                  <c:v>98.11</c:v>
                </c:pt>
                <c:pt idx="3">
                  <c:v>94.32</c:v>
                </c:pt>
                <c:pt idx="4">
                  <c:v>100.53</c:v>
                </c:pt>
                <c:pt idx="5">
                  <c:v>101.46</c:v>
                </c:pt>
                <c:pt idx="6">
                  <c:v>98.1</c:v>
                </c:pt>
                <c:pt idx="7">
                  <c:v>97.75</c:v>
                </c:pt>
                <c:pt idx="8">
                  <c:v>93.82</c:v>
                </c:pt>
                <c:pt idx="9">
                  <c:v>95.1</c:v>
                </c:pt>
                <c:pt idx="10">
                  <c:v>99.32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Finalne zużycie energii</c:v>
                </c:pt>
              </c:strCache>
            </c:strRef>
          </c:tx>
          <c:spPr>
            <a:ln w="28575" cap="rnd">
              <a:solidFill>
                <a:srgbClr val="B2B8D2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60.55</c:v>
                </c:pt>
                <c:pt idx="1">
                  <c:v>60.34</c:v>
                </c:pt>
                <c:pt idx="2">
                  <c:v>61.59</c:v>
                </c:pt>
                <c:pt idx="3">
                  <c:v>60.6</c:v>
                </c:pt>
                <c:pt idx="4">
                  <c:v>65.239999999999995</c:v>
                </c:pt>
                <c:pt idx="5">
                  <c:v>63.73</c:v>
                </c:pt>
                <c:pt idx="6">
                  <c:v>63.23</c:v>
                </c:pt>
                <c:pt idx="7">
                  <c:v>61.96</c:v>
                </c:pt>
                <c:pt idx="8">
                  <c:v>60.41</c:v>
                </c:pt>
                <c:pt idx="9">
                  <c:v>61.03</c:v>
                </c:pt>
                <c:pt idx="10">
                  <c:v>65.36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Finalne zużycie energii z korektą klimatyczną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61.39</c:v>
                </c:pt>
                <c:pt idx="1">
                  <c:v>62.34</c:v>
                </c:pt>
                <c:pt idx="2">
                  <c:v>63.99</c:v>
                </c:pt>
                <c:pt idx="3">
                  <c:v>61.5</c:v>
                </c:pt>
                <c:pt idx="4">
                  <c:v>63.87</c:v>
                </c:pt>
                <c:pt idx="5">
                  <c:v>65.31</c:v>
                </c:pt>
                <c:pt idx="6">
                  <c:v>63.56</c:v>
                </c:pt>
                <c:pt idx="7">
                  <c:v>62.52</c:v>
                </c:pt>
                <c:pt idx="8">
                  <c:v>63.07</c:v>
                </c:pt>
                <c:pt idx="9">
                  <c:v>63.57</c:v>
                </c:pt>
                <c:pt idx="10">
                  <c:v>66.75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90883600"/>
        <c:axId val="-390879792"/>
      </c:lineChart>
      <c:catAx>
        <c:axId val="-39088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79792"/>
        <c:crosses val="autoZero"/>
        <c:auto val="1"/>
        <c:lblAlgn val="ctr"/>
        <c:lblOffset val="100"/>
        <c:noMultiLvlLbl val="0"/>
      </c:catAx>
      <c:valAx>
        <c:axId val="-390879792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rgbClr val="0070C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83600"/>
        <c:crosses val="autoZero"/>
        <c:crossBetween val="between"/>
        <c:majorUnit val="20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2F5597"/>
            </a:solidFill>
            <a:ln cap="flat">
              <a:solidFill>
                <a:srgbClr val="008542"/>
              </a:solidFill>
            </a:ln>
            <a:effectLst/>
          </c:spPr>
          <c:invertIfNegative val="0"/>
          <c:cat>
            <c:strRef>
              <c:f>'2018'!$B$4:$F$4</c:f>
              <c:strCache>
                <c:ptCount val="5"/>
                <c:pt idx="0">
                  <c:v>Przemysł</c:v>
                </c:pt>
                <c:pt idx="1">
                  <c:v>Transport</c:v>
                </c:pt>
                <c:pt idx="2">
                  <c:v>Gospodarstwa domowe</c:v>
                </c:pt>
                <c:pt idx="3">
                  <c:v>Rolnictwo</c:v>
                </c:pt>
                <c:pt idx="4">
                  <c:v>Usługi</c:v>
                </c:pt>
              </c:strCache>
            </c:strRef>
          </c:cat>
          <c:val>
            <c:numRef>
              <c:f>'2018'!$B$5:$F$5</c:f>
              <c:numCache>
                <c:formatCode>0.0%</c:formatCode>
                <c:ptCount val="5"/>
                <c:pt idx="0">
                  <c:v>0.2424</c:v>
                </c:pt>
                <c:pt idx="1">
                  <c:v>0.22620000000000001</c:v>
                </c:pt>
                <c:pt idx="2">
                  <c:v>0.34520000000000001</c:v>
                </c:pt>
                <c:pt idx="3">
                  <c:v>6.4500000000000002E-2</c:v>
                </c:pt>
                <c:pt idx="4">
                  <c:v>0.1217</c:v>
                </c:pt>
              </c:numCache>
            </c:numRef>
          </c:val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B2B8D2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'2018'!$B$4:$F$4</c:f>
              <c:strCache>
                <c:ptCount val="5"/>
                <c:pt idx="0">
                  <c:v>Przemysł</c:v>
                </c:pt>
                <c:pt idx="1">
                  <c:v>Transport</c:v>
                </c:pt>
                <c:pt idx="2">
                  <c:v>Gospodarstwa domowe</c:v>
                </c:pt>
                <c:pt idx="3">
                  <c:v>Rolnictwo</c:v>
                </c:pt>
                <c:pt idx="4">
                  <c:v>Usługi</c:v>
                </c:pt>
              </c:strCache>
            </c:strRef>
          </c:cat>
          <c:val>
            <c:numRef>
              <c:f>'2018'!$B$6:$F$6</c:f>
              <c:numCache>
                <c:formatCode>0.0%</c:formatCode>
                <c:ptCount val="5"/>
                <c:pt idx="0">
                  <c:v>0.2261</c:v>
                </c:pt>
                <c:pt idx="1">
                  <c:v>0.28710000000000002</c:v>
                </c:pt>
                <c:pt idx="2">
                  <c:v>0.30249999999999999</c:v>
                </c:pt>
                <c:pt idx="3">
                  <c:v>5.4100000000000002E-2</c:v>
                </c:pt>
                <c:pt idx="4">
                  <c:v>0.13020000000000001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90890672"/>
        <c:axId val="-390883056"/>
      </c:barChart>
      <c:catAx>
        <c:axId val="-39089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83056"/>
        <c:crosses val="autoZero"/>
        <c:auto val="1"/>
        <c:lblAlgn val="ctr"/>
        <c:lblOffset val="100"/>
        <c:noMultiLvlLbl val="0"/>
      </c:catAx>
      <c:valAx>
        <c:axId val="-390883056"/>
        <c:scaling>
          <c:orientation val="minMax"/>
          <c:max val="0.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90672"/>
        <c:crosses val="autoZero"/>
        <c:crossBetween val="between"/>
        <c:majorUnit val="0.1"/>
        <c:minorUnit val="0.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Paliwa ciekłe</c:v>
                </c:pt>
              </c:strCache>
            </c:strRef>
          </c:tx>
          <c:spPr>
            <a:solidFill>
              <a:srgbClr val="717AA9"/>
            </a:solidFill>
            <a:ln cap="flat"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'2018'!$B$5:$L$5</c:f>
              <c:numCache>
                <c:formatCode>General</c:formatCode>
                <c:ptCount val="11"/>
                <c:pt idx="0">
                  <c:v>1.0309999999999999</c:v>
                </c:pt>
                <c:pt idx="1">
                  <c:v>0.96</c:v>
                </c:pt>
                <c:pt idx="2">
                  <c:v>0.878</c:v>
                </c:pt>
                <c:pt idx="3">
                  <c:v>0.79200000000000004</c:v>
                </c:pt>
                <c:pt idx="4">
                  <c:v>0.7</c:v>
                </c:pt>
                <c:pt idx="5">
                  <c:v>0.66100000000000003</c:v>
                </c:pt>
                <c:pt idx="6">
                  <c:v>0.63800000000000001</c:v>
                </c:pt>
                <c:pt idx="7">
                  <c:v>0.59799999999999998</c:v>
                </c:pt>
                <c:pt idx="8">
                  <c:v>0.61099999999999999</c:v>
                </c:pt>
                <c:pt idx="9">
                  <c:v>0.58299999999999996</c:v>
                </c:pt>
                <c:pt idx="1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Gaz ziemny</c:v>
                </c:pt>
              </c:strCache>
            </c:strRef>
          </c:tx>
          <c:spPr>
            <a:solidFill>
              <a:srgbClr val="BEBFBE"/>
            </a:solidFill>
            <a:ln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'2018'!$B$6:$L$6</c:f>
              <c:numCache>
                <c:formatCode>General</c:formatCode>
                <c:ptCount val="11"/>
                <c:pt idx="0">
                  <c:v>3.3149999999999999</c:v>
                </c:pt>
                <c:pt idx="1">
                  <c:v>3.17</c:v>
                </c:pt>
                <c:pt idx="2">
                  <c:v>3.141</c:v>
                </c:pt>
                <c:pt idx="3">
                  <c:v>3.2229999999999999</c:v>
                </c:pt>
                <c:pt idx="4">
                  <c:v>3.5470000000000002</c:v>
                </c:pt>
                <c:pt idx="5">
                  <c:v>3.2370000000000001</c:v>
                </c:pt>
                <c:pt idx="6">
                  <c:v>3.3780000000000001</c:v>
                </c:pt>
                <c:pt idx="7">
                  <c:v>3.4209999999999998</c:v>
                </c:pt>
                <c:pt idx="8">
                  <c:v>3.1440000000000001</c:v>
                </c:pt>
                <c:pt idx="9">
                  <c:v>3.1579999999999999</c:v>
                </c:pt>
                <c:pt idx="10">
                  <c:v>3.4670000000000001</c:v>
                </c:pt>
              </c:numCache>
            </c:numRef>
          </c:val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Węgiel</c:v>
                </c:pt>
              </c:strCache>
            </c:strRef>
          </c:tx>
          <c:spPr>
            <a:solidFill>
              <a:srgbClr val="8E93B9"/>
            </a:solidFill>
            <a:ln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'2018'!$B$7:$L$7</c:f>
              <c:numCache>
                <c:formatCode>General</c:formatCode>
                <c:ptCount val="11"/>
                <c:pt idx="0">
                  <c:v>7.2380000000000004</c:v>
                </c:pt>
                <c:pt idx="1">
                  <c:v>6.3090000000000002</c:v>
                </c:pt>
                <c:pt idx="2">
                  <c:v>6.6829999999999998</c:v>
                </c:pt>
                <c:pt idx="3">
                  <c:v>6.8849999999999998</c:v>
                </c:pt>
                <c:pt idx="4">
                  <c:v>7.7610000000000001</c:v>
                </c:pt>
                <c:pt idx="5">
                  <c:v>6.8220000000000001</c:v>
                </c:pt>
                <c:pt idx="6">
                  <c:v>7.1660000000000004</c:v>
                </c:pt>
                <c:pt idx="7">
                  <c:v>6.9169999999999998</c:v>
                </c:pt>
                <c:pt idx="8">
                  <c:v>6.3380000000000001</c:v>
                </c:pt>
                <c:pt idx="9">
                  <c:v>6.2290000000000001</c:v>
                </c:pt>
                <c:pt idx="10">
                  <c:v>6.5860000000000003</c:v>
                </c:pt>
              </c:numCache>
            </c:numRef>
          </c:val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Energia elektryczna</c:v>
                </c:pt>
              </c:strCache>
            </c:strRef>
          </c:tx>
          <c:spPr>
            <a:solidFill>
              <a:srgbClr val="A9ADCA"/>
            </a:solidFill>
            <a:ln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'2018'!$B$8:$L$8</c:f>
              <c:numCache>
                <c:formatCode>General</c:formatCode>
                <c:ptCount val="11"/>
                <c:pt idx="0">
                  <c:v>2.2759999999999998</c:v>
                </c:pt>
                <c:pt idx="1">
                  <c:v>2.2669999999999999</c:v>
                </c:pt>
                <c:pt idx="2">
                  <c:v>2.331</c:v>
                </c:pt>
                <c:pt idx="3">
                  <c:v>2.367</c:v>
                </c:pt>
                <c:pt idx="4">
                  <c:v>2.46</c:v>
                </c:pt>
                <c:pt idx="5">
                  <c:v>2.4300000000000002</c:v>
                </c:pt>
                <c:pt idx="6">
                  <c:v>2.4350000000000001</c:v>
                </c:pt>
                <c:pt idx="7">
                  <c:v>2.4460000000000002</c:v>
                </c:pt>
                <c:pt idx="8">
                  <c:v>2.415</c:v>
                </c:pt>
                <c:pt idx="9">
                  <c:v>2.4319999999999999</c:v>
                </c:pt>
                <c:pt idx="10">
                  <c:v>2.4860000000000002</c:v>
                </c:pt>
              </c:numCache>
            </c:numRef>
          </c:val>
        </c:ser>
        <c:ser>
          <c:idx val="4"/>
          <c:order val="4"/>
          <c:tx>
            <c:strRef>
              <c:f>'2018'!$A$9</c:f>
              <c:strCache>
                <c:ptCount val="1"/>
                <c:pt idx="0">
                  <c:v>Ciepło</c:v>
                </c:pt>
              </c:strCache>
            </c:strRef>
          </c:tx>
          <c:spPr>
            <a:solidFill>
              <a:srgbClr val="41518C"/>
            </a:solidFill>
            <a:ln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'2018'!$B$9:$L$9</c:f>
              <c:numCache>
                <c:formatCode>General</c:formatCode>
                <c:ptCount val="11"/>
                <c:pt idx="0">
                  <c:v>4.5380000000000003</c:v>
                </c:pt>
                <c:pt idx="1">
                  <c:v>4.2990000000000004</c:v>
                </c:pt>
                <c:pt idx="2">
                  <c:v>4.18</c:v>
                </c:pt>
                <c:pt idx="3">
                  <c:v>4.24</c:v>
                </c:pt>
                <c:pt idx="4">
                  <c:v>4.657</c:v>
                </c:pt>
                <c:pt idx="5">
                  <c:v>4.18</c:v>
                </c:pt>
                <c:pt idx="6">
                  <c:v>4.2990000000000004</c:v>
                </c:pt>
                <c:pt idx="7">
                  <c:v>4.2039999999999997</c:v>
                </c:pt>
                <c:pt idx="8">
                  <c:v>3.8929999999999998</c:v>
                </c:pt>
                <c:pt idx="9">
                  <c:v>3.8809999999999998</c:v>
                </c:pt>
                <c:pt idx="10">
                  <c:v>3.8929999999999998</c:v>
                </c:pt>
              </c:numCache>
            </c:numRef>
          </c:val>
        </c:ser>
        <c:ser>
          <c:idx val="5"/>
          <c:order val="5"/>
          <c:tx>
            <c:strRef>
              <c:f>'2018'!$A$10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ACACAC"/>
            </a:solidFill>
            <a:ln>
              <a:noFill/>
            </a:ln>
            <a:effectLst/>
          </c:spPr>
          <c:invertIfNegative val="0"/>
          <c:cat>
            <c:numRef>
              <c:f>'2018'!$B$4:$L$4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'2018'!$B$10:$L$10</c:f>
              <c:numCache>
                <c:formatCode>General</c:formatCode>
                <c:ptCount val="11"/>
                <c:pt idx="0">
                  <c:v>2.5059999999999998</c:v>
                </c:pt>
                <c:pt idx="1">
                  <c:v>2.4449999999999998</c:v>
                </c:pt>
                <c:pt idx="2">
                  <c:v>2.4580000000000002</c:v>
                </c:pt>
                <c:pt idx="3">
                  <c:v>2.4590000000000001</c:v>
                </c:pt>
                <c:pt idx="4">
                  <c:v>2.7090000000000001</c:v>
                </c:pt>
                <c:pt idx="5">
                  <c:v>2.7639999999999998</c:v>
                </c:pt>
                <c:pt idx="6">
                  <c:v>2.8119999999999998</c:v>
                </c:pt>
                <c:pt idx="7">
                  <c:v>2.8149999999999999</c:v>
                </c:pt>
                <c:pt idx="8">
                  <c:v>2.5459999999999998</c:v>
                </c:pt>
                <c:pt idx="9">
                  <c:v>2.5739999999999998</c:v>
                </c:pt>
                <c:pt idx="10">
                  <c:v>2.7250000000000001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90889040"/>
        <c:axId val="-390890128"/>
      </c:barChart>
      <c:catAx>
        <c:axId val="-39088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90128"/>
        <c:crosses val="autoZero"/>
        <c:auto val="1"/>
        <c:lblAlgn val="ctr"/>
        <c:lblOffset val="100"/>
        <c:noMultiLvlLbl val="0"/>
      </c:catAx>
      <c:valAx>
        <c:axId val="-390890128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solidFill>
              <a:srgbClr val="0070C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390889040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E962AB8D-54EF-481F-A509-C37BC861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Efektywność wykorzystania energii w latach 2006-2016 </dc:title>
  <dc:subject/>
  <dc:creator>Zawistowska Beata</dc:creator>
  <cp:keywords>efektywność wykorzystania energii;energia</cp:keywords>
  <dc:description/>
  <cp:lastModifiedBy>Koszela Alicja</cp:lastModifiedBy>
  <cp:revision>3</cp:revision>
  <cp:lastPrinted>2018-06-15T07:52:00Z</cp:lastPrinted>
  <dcterms:created xsi:type="dcterms:W3CDTF">2018-06-15T07:51:00Z</dcterms:created>
  <dcterms:modified xsi:type="dcterms:W3CDTF">2018-06-15T07:53:00Z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