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r w:rsidRPr="00460C1E">
        <w:rPr>
          <w:rFonts w:ascii="Times New Roman" w:eastAsia="Times New Roman" w:hAnsi="Times New Roman" w:cs="Times New Roman"/>
          <w:b/>
          <w:sz w:val="48"/>
          <w:szCs w:val="48"/>
          <w:lang w:eastAsia="pl-PL"/>
        </w:rPr>
        <w:t>GŁÓWNY URZĄD STATYSTYCZNY</w:t>
      </w: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r w:rsidRPr="00460C1E">
        <w:rPr>
          <w:rFonts w:ascii="Times New Roman" w:eastAsia="Times New Roman" w:hAnsi="Times New Roman" w:cs="Times New Roman"/>
          <w:b/>
          <w:sz w:val="48"/>
          <w:szCs w:val="48"/>
          <w:lang w:eastAsia="pl-PL"/>
        </w:rPr>
        <w:t>ZUŻYCIE PALIW I NOŚNIKÓW ENERGII W 2015 R.</w:t>
      </w: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pPr>
    </w:p>
    <w:p w:rsidR="00460C1E" w:rsidRPr="00460C1E" w:rsidRDefault="00460C1E" w:rsidP="00460C1E">
      <w:pPr>
        <w:spacing w:after="0" w:line="240" w:lineRule="auto"/>
        <w:jc w:val="center"/>
        <w:rPr>
          <w:rFonts w:ascii="Times New Roman" w:eastAsia="Times New Roman" w:hAnsi="Times New Roman" w:cs="Times New Roman"/>
          <w:b/>
          <w:sz w:val="48"/>
          <w:szCs w:val="48"/>
          <w:lang w:eastAsia="pl-PL"/>
        </w:rPr>
        <w:sectPr w:rsidR="00460C1E" w:rsidRPr="00460C1E" w:rsidSect="009A7FA7">
          <w:headerReference w:type="even" r:id="rId7"/>
          <w:headerReference w:type="default" r:id="rId8"/>
          <w:pgSz w:w="11906" w:h="16838"/>
          <w:pgMar w:top="1417" w:right="1417" w:bottom="1417" w:left="1417" w:header="708" w:footer="708" w:gutter="0"/>
          <w:pgNumType w:start="1"/>
          <w:cols w:space="708"/>
          <w:titlePg/>
          <w:docGrid w:linePitch="360"/>
        </w:sectPr>
      </w:pPr>
      <w:r w:rsidRPr="00460C1E">
        <w:rPr>
          <w:rFonts w:ascii="Times New Roman" w:eastAsia="Times New Roman" w:hAnsi="Times New Roman" w:cs="Times New Roman"/>
          <w:b/>
          <w:sz w:val="48"/>
          <w:szCs w:val="48"/>
          <w:lang w:eastAsia="pl-PL"/>
        </w:rPr>
        <w:t>Warszawa 2016</w:t>
      </w:r>
    </w:p>
    <w:p w:rsidR="00460C1E" w:rsidRPr="00460C1E" w:rsidRDefault="00460C1E" w:rsidP="00460C1E">
      <w:pPr>
        <w:spacing w:after="0" w:line="240" w:lineRule="auto"/>
        <w:rPr>
          <w:rFonts w:ascii="Times New Roman" w:eastAsia="Times New Roman" w:hAnsi="Times New Roman" w:cs="Times New Roman"/>
          <w:b/>
          <w:sz w:val="48"/>
          <w:szCs w:val="48"/>
          <w:lang w:eastAsia="pl-PL"/>
        </w:rPr>
      </w:pPr>
    </w:p>
    <w:p w:rsidR="00460C1E" w:rsidRPr="00460C1E" w:rsidRDefault="00460C1E" w:rsidP="00460C1E">
      <w:pPr>
        <w:tabs>
          <w:tab w:val="left" w:pos="1260"/>
        </w:tabs>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br w:type="page"/>
      </w:r>
      <w:r w:rsidRPr="00460C1E">
        <w:rPr>
          <w:rFonts w:ascii="Times New Roman" w:eastAsia="Times New Roman" w:hAnsi="Times New Roman" w:cs="Times New Roman"/>
          <w:sz w:val="24"/>
          <w:szCs w:val="24"/>
          <w:lang w:eastAsia="pl-PL"/>
        </w:rPr>
        <w:lastRenderedPageBreak/>
        <w:t>Opracowanie publikacji</w:t>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GUS, Departament Produkcji</w:t>
      </w:r>
    </w:p>
    <w:p w:rsidR="00460C1E" w:rsidRPr="00460C1E" w:rsidRDefault="00460C1E" w:rsidP="00460C1E">
      <w:pPr>
        <w:tabs>
          <w:tab w:val="left" w:pos="1260"/>
        </w:tabs>
        <w:spacing w:after="0" w:line="240" w:lineRule="auto"/>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Preparation of the publication</w:t>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t>CSO, Production Department</w:t>
      </w:r>
    </w:p>
    <w:p w:rsidR="00460C1E" w:rsidRPr="00460C1E" w:rsidRDefault="00460C1E" w:rsidP="00460C1E">
      <w:pPr>
        <w:tabs>
          <w:tab w:val="left" w:pos="1260"/>
        </w:tabs>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val="en-US" w:eastAsia="pl-PL"/>
        </w:rPr>
        <w:tab/>
      </w:r>
      <w:r w:rsidRPr="00460C1E">
        <w:rPr>
          <w:rFonts w:ascii="Times New Roman" w:eastAsia="Times New Roman" w:hAnsi="Times New Roman" w:cs="Times New Roman"/>
          <w:sz w:val="24"/>
          <w:szCs w:val="24"/>
          <w:lang w:eastAsia="pl-PL"/>
        </w:rPr>
        <w:t>Agencja Rynku Energii S.A.</w:t>
      </w:r>
    </w:p>
    <w:p w:rsidR="00460C1E" w:rsidRPr="00460C1E" w:rsidRDefault="00460C1E" w:rsidP="00460C1E">
      <w:pPr>
        <w:spacing w:after="0" w:line="240" w:lineRule="auto"/>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i/>
          <w:sz w:val="24"/>
          <w:szCs w:val="24"/>
          <w:lang w:eastAsia="pl-PL"/>
        </w:rPr>
        <w:t xml:space="preserve">Energy Market </w:t>
      </w:r>
      <w:proofErr w:type="spellStart"/>
      <w:r w:rsidRPr="00460C1E">
        <w:rPr>
          <w:rFonts w:ascii="Times New Roman" w:eastAsia="Times New Roman" w:hAnsi="Times New Roman" w:cs="Times New Roman"/>
          <w:i/>
          <w:sz w:val="24"/>
          <w:szCs w:val="24"/>
          <w:lang w:eastAsia="pl-PL"/>
        </w:rPr>
        <w:t>Agency</w:t>
      </w:r>
      <w:proofErr w:type="spellEnd"/>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kierujący</w:t>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zespołem GUS: Grażyna Berent-Kowalska</w:t>
      </w:r>
    </w:p>
    <w:p w:rsidR="00460C1E" w:rsidRPr="00460C1E" w:rsidRDefault="00460C1E" w:rsidP="00460C1E">
      <w:pPr>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proofErr w:type="spellStart"/>
      <w:r w:rsidRPr="00460C1E">
        <w:rPr>
          <w:rFonts w:ascii="Times New Roman" w:eastAsia="Times New Roman" w:hAnsi="Times New Roman" w:cs="Times New Roman"/>
          <w:i/>
          <w:sz w:val="24"/>
          <w:szCs w:val="24"/>
          <w:lang w:eastAsia="pl-PL"/>
        </w:rPr>
        <w:t>supervisor</w:t>
      </w:r>
      <w:proofErr w:type="spellEnd"/>
      <w:r w:rsidRPr="00460C1E">
        <w:rPr>
          <w:rFonts w:ascii="Times New Roman" w:eastAsia="Times New Roman" w:hAnsi="Times New Roman" w:cs="Times New Roman"/>
          <w:i/>
          <w:sz w:val="24"/>
          <w:szCs w:val="24"/>
          <w:lang w:eastAsia="pl-PL"/>
        </w:rPr>
        <w:tab/>
      </w:r>
      <w:r w:rsidRPr="00460C1E">
        <w:rPr>
          <w:rFonts w:ascii="Times New Roman" w:eastAsia="Times New Roman" w:hAnsi="Times New Roman" w:cs="Times New Roman"/>
          <w:i/>
          <w:sz w:val="24"/>
          <w:szCs w:val="24"/>
          <w:lang w:eastAsia="pl-PL"/>
        </w:rPr>
        <w:tab/>
      </w:r>
      <w:r w:rsidRPr="00460C1E">
        <w:rPr>
          <w:rFonts w:ascii="Times New Roman" w:eastAsia="Times New Roman" w:hAnsi="Times New Roman" w:cs="Times New Roman"/>
          <w:i/>
          <w:sz w:val="24"/>
          <w:szCs w:val="24"/>
          <w:lang w:eastAsia="pl-PL"/>
        </w:rPr>
        <w:tab/>
      </w:r>
      <w:r w:rsidRPr="00460C1E">
        <w:rPr>
          <w:rFonts w:ascii="Times New Roman" w:eastAsia="Times New Roman" w:hAnsi="Times New Roman" w:cs="Times New Roman"/>
          <w:sz w:val="24"/>
          <w:szCs w:val="24"/>
          <w:lang w:eastAsia="pl-PL"/>
        </w:rPr>
        <w:t xml:space="preserve">zespołem ARE: Ryszard </w:t>
      </w:r>
      <w:proofErr w:type="spellStart"/>
      <w:r w:rsidRPr="00460C1E">
        <w:rPr>
          <w:rFonts w:ascii="Times New Roman" w:eastAsia="Times New Roman" w:hAnsi="Times New Roman" w:cs="Times New Roman"/>
          <w:sz w:val="24"/>
          <w:szCs w:val="24"/>
          <w:lang w:eastAsia="pl-PL"/>
        </w:rPr>
        <w:t>Gilecki</w:t>
      </w:r>
      <w:proofErr w:type="spellEnd"/>
      <w:r w:rsidRPr="00460C1E">
        <w:rPr>
          <w:rFonts w:ascii="Times New Roman" w:eastAsia="Times New Roman" w:hAnsi="Times New Roman" w:cs="Times New Roman"/>
          <w:sz w:val="24"/>
          <w:szCs w:val="24"/>
          <w:lang w:eastAsia="pl-PL"/>
        </w:rPr>
        <w:t>, Joanna Kacprowska</w:t>
      </w: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 xml:space="preserve">zespół </w:t>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Szymon Peryt (GUS), Elżbieta Żarek,</w:t>
      </w:r>
    </w:p>
    <w:p w:rsidR="00460C1E" w:rsidRPr="00460C1E" w:rsidRDefault="00460C1E" w:rsidP="00460C1E">
      <w:pPr>
        <w:spacing w:after="0" w:line="24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i/>
          <w:sz w:val="24"/>
          <w:szCs w:val="24"/>
          <w:lang w:eastAsia="pl-PL"/>
        </w:rPr>
        <w:t>team</w:t>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 xml:space="preserve">Renata Boczek, Jadwiga </w:t>
      </w:r>
      <w:proofErr w:type="spellStart"/>
      <w:r w:rsidRPr="00460C1E">
        <w:rPr>
          <w:rFonts w:ascii="Times New Roman" w:eastAsia="Times New Roman" w:hAnsi="Times New Roman" w:cs="Times New Roman"/>
          <w:sz w:val="24"/>
          <w:szCs w:val="24"/>
          <w:lang w:eastAsia="pl-PL"/>
        </w:rPr>
        <w:t>Brasse</w:t>
      </w:r>
      <w:proofErr w:type="spellEnd"/>
      <w:r w:rsidRPr="00460C1E">
        <w:rPr>
          <w:rFonts w:ascii="Times New Roman" w:eastAsia="Times New Roman" w:hAnsi="Times New Roman" w:cs="Times New Roman"/>
          <w:sz w:val="24"/>
          <w:szCs w:val="24"/>
          <w:lang w:eastAsia="pl-PL"/>
        </w:rPr>
        <w:t xml:space="preserve"> (ARE)</w:t>
      </w: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rPr>
          <w:rFonts w:ascii="Times New Roman" w:eastAsia="Times New Roman" w:hAnsi="Times New Roman" w:cs="Times New Roman"/>
          <w:sz w:val="24"/>
          <w:szCs w:val="24"/>
          <w:lang w:eastAsia="pl-PL"/>
        </w:rPr>
      </w:pPr>
    </w:p>
    <w:p w:rsidR="00460C1E" w:rsidRPr="00460C1E" w:rsidRDefault="00460C1E" w:rsidP="00460C1E">
      <w:pPr>
        <w:spacing w:after="0" w:line="240" w:lineRule="auto"/>
        <w:jc w:val="center"/>
        <w:rPr>
          <w:rFonts w:ascii="Times New Roman" w:eastAsia="Times New Roman" w:hAnsi="Times New Roman" w:cs="Times New Roman"/>
          <w:b/>
          <w:sz w:val="24"/>
          <w:szCs w:val="24"/>
          <w:lang w:eastAsia="pl-PL"/>
        </w:rPr>
      </w:pPr>
      <w:r w:rsidRPr="00460C1E">
        <w:rPr>
          <w:rFonts w:ascii="Times New Roman" w:eastAsia="Times New Roman" w:hAnsi="Times New Roman" w:cs="Times New Roman"/>
          <w:sz w:val="24"/>
          <w:szCs w:val="24"/>
          <w:lang w:eastAsia="pl-PL"/>
        </w:rPr>
        <w:br w:type="page"/>
      </w:r>
    </w:p>
    <w:p w:rsidR="00460C1E" w:rsidRPr="00460C1E" w:rsidRDefault="00460C1E" w:rsidP="00460C1E">
      <w:pPr>
        <w:spacing w:after="0" w:line="240" w:lineRule="auto"/>
        <w:jc w:val="center"/>
        <w:rPr>
          <w:rFonts w:ascii="Times New Roman" w:eastAsia="Times New Roman" w:hAnsi="Times New Roman" w:cs="Times New Roman"/>
          <w:b/>
          <w:sz w:val="24"/>
          <w:szCs w:val="24"/>
          <w:lang w:eastAsia="pl-PL"/>
        </w:rPr>
      </w:pPr>
      <w:r w:rsidRPr="00460C1E">
        <w:rPr>
          <w:rFonts w:ascii="Times New Roman" w:eastAsia="Times New Roman" w:hAnsi="Times New Roman" w:cs="Times New Roman"/>
          <w:b/>
          <w:sz w:val="24"/>
          <w:szCs w:val="24"/>
          <w:lang w:eastAsia="pl-PL"/>
        </w:rPr>
        <w:lastRenderedPageBreak/>
        <w:t>PRZEDMOWA</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ind w:firstLine="708"/>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 xml:space="preserve">Publikacja niniejsza jest kolejną edycją opracowania „Zużycie paliw i nośników energii”, wydawaną </w:t>
      </w:r>
      <w:r w:rsidR="00573862">
        <w:rPr>
          <w:rFonts w:ascii="Times New Roman" w:eastAsia="Times New Roman" w:hAnsi="Times New Roman" w:cs="Times New Roman"/>
          <w:sz w:val="24"/>
          <w:szCs w:val="24"/>
          <w:lang w:eastAsia="pl-PL"/>
        </w:rPr>
        <w:t xml:space="preserve">corocznie </w:t>
      </w:r>
      <w:r w:rsidRPr="00460C1E">
        <w:rPr>
          <w:rFonts w:ascii="Times New Roman" w:eastAsia="Times New Roman" w:hAnsi="Times New Roman" w:cs="Times New Roman"/>
          <w:sz w:val="24"/>
          <w:szCs w:val="24"/>
          <w:lang w:eastAsia="pl-PL"/>
        </w:rPr>
        <w:t>przez GUS w serii „Informacje i opracowania statystyczne”.</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ind w:firstLine="708"/>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 xml:space="preserve">Celem publikacji jest przedstawienie zużycia paliw i nośników energii w ujęciu regionalnym. Prace związane z przygotowaniem i opracowaniem publikacji zostały wykonane przez pracowników Agencji Rynku Energii S.A. oraz pracowników Departamentu Produkcji </w:t>
      </w:r>
      <w:r w:rsidRPr="00460C1E">
        <w:rPr>
          <w:rFonts w:ascii="Times New Roman" w:eastAsia="Times New Roman" w:hAnsi="Times New Roman" w:cs="Times New Roman"/>
          <w:sz w:val="24"/>
          <w:szCs w:val="24"/>
          <w:lang w:eastAsia="pl-PL"/>
        </w:rPr>
        <w:br/>
        <w:t>w Głównym Urzędzie Statystycznym.</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ind w:firstLine="708"/>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Oddając do rąk Państwa niniejszą publikację uprzejmie prosimy o ewentualne uwagi, które przyczynią się do wzbogacenia treści kolejnych wydań.</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Wanda Tkaczyk</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r>
      <w:r w:rsidRPr="00460C1E">
        <w:rPr>
          <w:rFonts w:ascii="Times New Roman" w:eastAsia="Times New Roman" w:hAnsi="Times New Roman" w:cs="Times New Roman"/>
          <w:sz w:val="24"/>
          <w:szCs w:val="24"/>
          <w:lang w:eastAsia="pl-PL"/>
        </w:rPr>
        <w:tab/>
        <w:t xml:space="preserve">Zastępca Dyrektora </w:t>
      </w:r>
    </w:p>
    <w:p w:rsidR="00460C1E" w:rsidRPr="00460C1E" w:rsidRDefault="00460C1E" w:rsidP="00460C1E">
      <w:pPr>
        <w:spacing w:after="0" w:line="240" w:lineRule="auto"/>
        <w:ind w:left="4956" w:firstLine="708"/>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Departamentu Produkcji</w:t>
      </w: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jc w:val="both"/>
        <w:rPr>
          <w:rFonts w:ascii="Times New Roman" w:eastAsia="Times New Roman" w:hAnsi="Times New Roman" w:cs="Times New Roman"/>
          <w:sz w:val="24"/>
          <w:szCs w:val="24"/>
          <w:lang w:eastAsia="pl-PL"/>
        </w:rPr>
      </w:pPr>
    </w:p>
    <w:p w:rsidR="00460C1E" w:rsidRPr="00460C1E" w:rsidRDefault="00460C1E" w:rsidP="00460C1E">
      <w:pPr>
        <w:spacing w:after="0" w:line="240" w:lineRule="auto"/>
        <w:jc w:val="both"/>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 xml:space="preserve">Warszawa, </w:t>
      </w:r>
      <w:proofErr w:type="spellStart"/>
      <w:r w:rsidRPr="00460C1E">
        <w:rPr>
          <w:rFonts w:ascii="Times New Roman" w:eastAsia="Times New Roman" w:hAnsi="Times New Roman" w:cs="Times New Roman"/>
          <w:sz w:val="24"/>
          <w:szCs w:val="24"/>
          <w:lang w:val="en-US" w:eastAsia="pl-PL"/>
        </w:rPr>
        <w:t>grudzień</w:t>
      </w:r>
      <w:proofErr w:type="spellEnd"/>
      <w:r w:rsidRPr="00460C1E">
        <w:rPr>
          <w:rFonts w:ascii="Times New Roman" w:eastAsia="Times New Roman" w:hAnsi="Times New Roman" w:cs="Times New Roman"/>
          <w:sz w:val="24"/>
          <w:szCs w:val="24"/>
          <w:lang w:val="en-US" w:eastAsia="pl-PL"/>
        </w:rPr>
        <w:t xml:space="preserve"> 2016 r.</w:t>
      </w:r>
    </w:p>
    <w:p w:rsidR="00460C1E" w:rsidRPr="00460C1E" w:rsidRDefault="00460C1E" w:rsidP="00460C1E">
      <w:pPr>
        <w:spacing w:after="0" w:line="240" w:lineRule="auto"/>
        <w:jc w:val="both"/>
        <w:rPr>
          <w:rFonts w:ascii="Times New Roman" w:eastAsia="Times New Roman" w:hAnsi="Times New Roman" w:cs="Times New Roman"/>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center"/>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center"/>
        <w:rPr>
          <w:rFonts w:ascii="Times New Roman" w:eastAsia="Times New Roman" w:hAnsi="Times New Roman" w:cs="Times New Roman"/>
          <w:b/>
          <w:i/>
          <w:sz w:val="24"/>
          <w:szCs w:val="24"/>
          <w:lang w:val="en-US" w:eastAsia="pl-PL"/>
        </w:rPr>
      </w:pPr>
      <w:r w:rsidRPr="00460C1E">
        <w:rPr>
          <w:rFonts w:ascii="Times New Roman" w:eastAsia="Times New Roman" w:hAnsi="Times New Roman" w:cs="Times New Roman"/>
          <w:b/>
          <w:i/>
          <w:sz w:val="24"/>
          <w:szCs w:val="24"/>
          <w:lang w:val="en-US" w:eastAsia="pl-PL"/>
        </w:rPr>
        <w:t>PREFACE</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ind w:firstLine="708"/>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This publication is successive edition of the study „Consumption of fuels and energy carriers” published on an annual basis by the Central Statistical Office (GUS) as part of the series titled „Information and statistical papers”.</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ind w:firstLine="708"/>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The publication aims at presenting fuels and energy consumption at regional frame. The publication was elaborated by the Energy Market Agency staff and by the employees of Central Statistical Office, Production Department.</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ind w:firstLine="708"/>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With giving this publication into your hands we kindly request for any remarks which can contribute to improvement and enrichment of following editions.</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t>Wanda Tkaczyk</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r>
      <w:r w:rsidRPr="00460C1E">
        <w:rPr>
          <w:rFonts w:ascii="Times New Roman" w:eastAsia="Times New Roman" w:hAnsi="Times New Roman" w:cs="Times New Roman"/>
          <w:i/>
          <w:sz w:val="24"/>
          <w:szCs w:val="24"/>
          <w:lang w:val="en-US" w:eastAsia="pl-PL"/>
        </w:rPr>
        <w:tab/>
        <w:t xml:space="preserve">Deputy Director of </w:t>
      </w:r>
    </w:p>
    <w:p w:rsidR="00460C1E" w:rsidRPr="00460C1E" w:rsidRDefault="00460C1E" w:rsidP="00460C1E">
      <w:pPr>
        <w:spacing w:after="0" w:line="240" w:lineRule="auto"/>
        <w:ind w:left="4956" w:firstLine="708"/>
        <w:jc w:val="both"/>
        <w:rPr>
          <w:rFonts w:ascii="Times New Roman" w:eastAsia="Times New Roman" w:hAnsi="Times New Roman" w:cs="Times New Roman"/>
          <w:i/>
          <w:sz w:val="24"/>
          <w:szCs w:val="24"/>
          <w:lang w:val="en-US" w:eastAsia="pl-PL"/>
        </w:rPr>
      </w:pPr>
      <w:r w:rsidRPr="00460C1E">
        <w:rPr>
          <w:rFonts w:ascii="Times New Roman" w:eastAsia="Times New Roman" w:hAnsi="Times New Roman" w:cs="Times New Roman"/>
          <w:i/>
          <w:sz w:val="24"/>
          <w:szCs w:val="24"/>
          <w:lang w:val="en-US" w:eastAsia="pl-PL"/>
        </w:rPr>
        <w:t>Production Department</w:t>
      </w: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val="en-US" w:eastAsia="pl-PL"/>
        </w:rPr>
      </w:pPr>
    </w:p>
    <w:p w:rsidR="00460C1E" w:rsidRPr="00460C1E" w:rsidRDefault="00460C1E" w:rsidP="00460C1E">
      <w:pPr>
        <w:spacing w:after="0" w:line="240" w:lineRule="auto"/>
        <w:jc w:val="both"/>
        <w:rPr>
          <w:rFonts w:ascii="Times New Roman" w:eastAsia="Times New Roman" w:hAnsi="Times New Roman" w:cs="Times New Roman"/>
          <w:i/>
          <w:sz w:val="24"/>
          <w:szCs w:val="24"/>
          <w:lang w:eastAsia="pl-PL"/>
        </w:rPr>
      </w:pPr>
      <w:proofErr w:type="spellStart"/>
      <w:r w:rsidRPr="00460C1E">
        <w:rPr>
          <w:rFonts w:ascii="Times New Roman" w:eastAsia="Times New Roman" w:hAnsi="Times New Roman" w:cs="Times New Roman"/>
          <w:i/>
          <w:sz w:val="24"/>
          <w:szCs w:val="24"/>
          <w:lang w:eastAsia="pl-PL"/>
        </w:rPr>
        <w:t>Warsaw</w:t>
      </w:r>
      <w:proofErr w:type="spellEnd"/>
      <w:r w:rsidRPr="00460C1E">
        <w:rPr>
          <w:rFonts w:ascii="Times New Roman" w:eastAsia="Times New Roman" w:hAnsi="Times New Roman" w:cs="Times New Roman"/>
          <w:i/>
          <w:sz w:val="24"/>
          <w:szCs w:val="24"/>
          <w:lang w:eastAsia="pl-PL"/>
        </w:rPr>
        <w:t xml:space="preserve">, </w:t>
      </w:r>
      <w:proofErr w:type="spellStart"/>
      <w:r w:rsidRPr="00460C1E">
        <w:rPr>
          <w:rFonts w:ascii="Times New Roman" w:eastAsia="Times New Roman" w:hAnsi="Times New Roman" w:cs="Times New Roman"/>
          <w:i/>
          <w:sz w:val="24"/>
          <w:szCs w:val="24"/>
          <w:lang w:eastAsia="pl-PL"/>
        </w:rPr>
        <w:t>December</w:t>
      </w:r>
      <w:proofErr w:type="spellEnd"/>
      <w:r w:rsidRPr="00460C1E">
        <w:rPr>
          <w:rFonts w:ascii="Times New Roman" w:eastAsia="Times New Roman" w:hAnsi="Times New Roman" w:cs="Times New Roman"/>
          <w:i/>
          <w:sz w:val="24"/>
          <w:szCs w:val="24"/>
          <w:lang w:eastAsia="pl-PL"/>
        </w:rPr>
        <w:t xml:space="preserve"> 2016</w:t>
      </w:r>
    </w:p>
    <w:p w:rsidR="00460C1E" w:rsidRPr="00460C1E" w:rsidRDefault="00460C1E" w:rsidP="00460C1E">
      <w:pPr>
        <w:spacing w:after="0" w:line="380" w:lineRule="exact"/>
        <w:jc w:val="center"/>
        <w:rPr>
          <w:rFonts w:ascii="Times New Roman" w:eastAsia="Times New Roman" w:hAnsi="Times New Roman" w:cs="Times New Roman"/>
          <w:sz w:val="24"/>
          <w:szCs w:val="24"/>
          <w:lang w:eastAsia="pl-PL"/>
        </w:rPr>
        <w:sectPr w:rsidR="00460C1E" w:rsidRPr="00460C1E" w:rsidSect="009A7FA7">
          <w:headerReference w:type="even" r:id="rId9"/>
          <w:headerReference w:type="default" r:id="rId10"/>
          <w:type w:val="continuous"/>
          <w:pgSz w:w="11906" w:h="16838"/>
          <w:pgMar w:top="1417" w:right="1417" w:bottom="1417" w:left="1417" w:header="708" w:footer="708" w:gutter="0"/>
          <w:pgNumType w:start="1"/>
          <w:cols w:space="708"/>
          <w:titlePg/>
          <w:docGrid w:linePitch="360"/>
        </w:sectPr>
      </w:pPr>
    </w:p>
    <w:p w:rsidR="00460C1E" w:rsidRPr="00460C1E" w:rsidRDefault="00460C1E" w:rsidP="00F35ECE">
      <w:pPr>
        <w:spacing w:after="0" w:line="360" w:lineRule="auto"/>
        <w:jc w:val="center"/>
        <w:rPr>
          <w:rFonts w:ascii="Times New Roman" w:eastAsia="Times New Roman" w:hAnsi="Times New Roman" w:cs="Times New Roman"/>
          <w:b/>
          <w:sz w:val="32"/>
          <w:szCs w:val="32"/>
          <w:lang w:eastAsia="pl-PL"/>
        </w:rPr>
      </w:pPr>
      <w:r w:rsidRPr="00460C1E">
        <w:rPr>
          <w:rFonts w:ascii="Times New Roman" w:eastAsia="Times New Roman" w:hAnsi="Times New Roman" w:cs="Times New Roman"/>
          <w:b/>
          <w:sz w:val="32"/>
          <w:szCs w:val="32"/>
          <w:lang w:eastAsia="pl-PL"/>
        </w:rPr>
        <w:lastRenderedPageBreak/>
        <w:t>Spis treści</w:t>
      </w:r>
    </w:p>
    <w:p w:rsidR="00460C1E" w:rsidRPr="00460C1E" w:rsidRDefault="00460C1E" w:rsidP="00F35ECE">
      <w:pPr>
        <w:spacing w:after="0" w:line="360" w:lineRule="auto"/>
        <w:rPr>
          <w:rFonts w:ascii="Times New Roman" w:eastAsia="Times New Roman" w:hAnsi="Times New Roman" w:cs="Times New Roman"/>
          <w:b/>
          <w:sz w:val="24"/>
          <w:szCs w:val="24"/>
          <w:lang w:eastAsia="pl-PL"/>
        </w:rPr>
      </w:pP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Uwagi metodologiczne</w:t>
      </w:r>
      <w:r w:rsidRPr="00460C1E">
        <w:rPr>
          <w:rFonts w:ascii="Times New Roman" w:eastAsia="Times New Roman" w:hAnsi="Times New Roman" w:cs="Times New Roman"/>
          <w:sz w:val="24"/>
          <w:szCs w:val="24"/>
          <w:lang w:eastAsia="pl-PL"/>
        </w:rPr>
        <w:tab/>
        <w:t>5</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Synteza</w:t>
      </w:r>
      <w:r w:rsidRPr="00460C1E">
        <w:rPr>
          <w:rFonts w:ascii="Times New Roman" w:eastAsia="Times New Roman" w:hAnsi="Times New Roman" w:cs="Times New Roman"/>
          <w:sz w:val="24"/>
          <w:szCs w:val="24"/>
          <w:lang w:eastAsia="pl-PL"/>
        </w:rPr>
        <w:tab/>
        <w:t>8</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p>
    <w:p w:rsidR="00460C1E" w:rsidRPr="00460C1E" w:rsidRDefault="00460C1E" w:rsidP="00F35ECE">
      <w:pPr>
        <w:tabs>
          <w:tab w:val="right" w:leader="dot" w:pos="9540"/>
        </w:tabs>
        <w:spacing w:after="0" w:line="360" w:lineRule="auto"/>
        <w:jc w:val="both"/>
        <w:rPr>
          <w:rFonts w:ascii="Times New Roman" w:eastAsia="Times New Roman" w:hAnsi="Times New Roman" w:cs="Times New Roman"/>
          <w:b/>
          <w:sz w:val="24"/>
          <w:szCs w:val="24"/>
          <w:lang w:eastAsia="pl-PL"/>
        </w:rPr>
      </w:pPr>
      <w:r w:rsidRPr="00460C1E">
        <w:rPr>
          <w:rFonts w:ascii="Times New Roman" w:eastAsia="Times New Roman" w:hAnsi="Times New Roman" w:cs="Times New Roman"/>
          <w:b/>
          <w:sz w:val="24"/>
          <w:szCs w:val="24"/>
          <w:lang w:eastAsia="pl-PL"/>
        </w:rPr>
        <w:t>SPIS TABLIC</w:t>
      </w:r>
    </w:p>
    <w:p w:rsidR="00460C1E" w:rsidRPr="00460C1E" w:rsidRDefault="00460C1E" w:rsidP="00F35ECE">
      <w:pPr>
        <w:tabs>
          <w:tab w:val="right" w:leader="dot" w:pos="9540"/>
        </w:tabs>
        <w:spacing w:after="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1. Zużycie węgla kamiennego [tys. ton]</w:t>
      </w:r>
      <w:r w:rsidRPr="00460C1E">
        <w:rPr>
          <w:rFonts w:ascii="Times New Roman" w:eastAsia="Times New Roman" w:hAnsi="Times New Roman" w:cs="Times New Roman"/>
          <w:sz w:val="24"/>
          <w:szCs w:val="24"/>
          <w:lang w:eastAsia="pl-PL"/>
        </w:rPr>
        <w:tab/>
        <w:t>12</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2. Zużycie gazu ziemnego [TJ]</w:t>
      </w:r>
      <w:r w:rsidRPr="00460C1E">
        <w:rPr>
          <w:rFonts w:ascii="Times New Roman" w:eastAsia="Times New Roman" w:hAnsi="Times New Roman" w:cs="Times New Roman"/>
          <w:sz w:val="24"/>
          <w:szCs w:val="24"/>
          <w:lang w:eastAsia="pl-PL"/>
        </w:rPr>
        <w:tab/>
        <w:t>13</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3. Zużycie gazu ciekłego (zużycie stacjonarne, bez pojazdów) [tys. ton]</w:t>
      </w:r>
      <w:r w:rsidRPr="00460C1E">
        <w:rPr>
          <w:rFonts w:ascii="Times New Roman" w:eastAsia="Times New Roman" w:hAnsi="Times New Roman" w:cs="Times New Roman"/>
          <w:sz w:val="24"/>
          <w:szCs w:val="24"/>
          <w:lang w:eastAsia="pl-PL"/>
        </w:rPr>
        <w:tab/>
        <w:t>14</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4. Zużycie lekkiego oleju opałowego [tys. ton]</w:t>
      </w:r>
      <w:r w:rsidRPr="00460C1E">
        <w:rPr>
          <w:rFonts w:ascii="Times New Roman" w:eastAsia="Times New Roman" w:hAnsi="Times New Roman" w:cs="Times New Roman"/>
          <w:sz w:val="24"/>
          <w:szCs w:val="24"/>
          <w:lang w:eastAsia="pl-PL"/>
        </w:rPr>
        <w:tab/>
        <w:t>15</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5. Zużycie ciężkiego oleju opałowego [tys. ton]</w:t>
      </w:r>
      <w:r w:rsidRPr="00460C1E">
        <w:rPr>
          <w:rFonts w:ascii="Times New Roman" w:eastAsia="Times New Roman" w:hAnsi="Times New Roman" w:cs="Times New Roman"/>
          <w:sz w:val="24"/>
          <w:szCs w:val="24"/>
          <w:lang w:eastAsia="pl-PL"/>
        </w:rPr>
        <w:tab/>
        <w:t>16</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6. Zużycie ciepła [TJ]</w:t>
      </w:r>
      <w:r w:rsidRPr="00460C1E">
        <w:rPr>
          <w:rFonts w:ascii="Times New Roman" w:eastAsia="Times New Roman" w:hAnsi="Times New Roman" w:cs="Times New Roman"/>
          <w:sz w:val="24"/>
          <w:szCs w:val="24"/>
          <w:lang w:eastAsia="pl-PL"/>
        </w:rPr>
        <w:tab/>
        <w:t>17</w:t>
      </w:r>
    </w:p>
    <w:p w:rsid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Tabl. 7. Zużycie energii elektrycznej [</w:t>
      </w:r>
      <w:proofErr w:type="spellStart"/>
      <w:r w:rsidRPr="00460C1E">
        <w:rPr>
          <w:rFonts w:ascii="Times New Roman" w:eastAsia="Times New Roman" w:hAnsi="Times New Roman" w:cs="Times New Roman"/>
          <w:sz w:val="24"/>
          <w:szCs w:val="24"/>
          <w:lang w:eastAsia="pl-PL"/>
        </w:rPr>
        <w:t>GWh</w:t>
      </w:r>
      <w:proofErr w:type="spellEnd"/>
      <w:r w:rsidRPr="00460C1E">
        <w:rPr>
          <w:rFonts w:ascii="Times New Roman" w:eastAsia="Times New Roman" w:hAnsi="Times New Roman" w:cs="Times New Roman"/>
          <w:sz w:val="24"/>
          <w:szCs w:val="24"/>
          <w:lang w:eastAsia="pl-PL"/>
        </w:rPr>
        <w:t>]</w:t>
      </w:r>
      <w:r w:rsidRPr="00460C1E">
        <w:rPr>
          <w:rFonts w:ascii="Times New Roman" w:eastAsia="Times New Roman" w:hAnsi="Times New Roman" w:cs="Times New Roman"/>
          <w:sz w:val="24"/>
          <w:szCs w:val="24"/>
          <w:lang w:eastAsia="pl-PL"/>
        </w:rPr>
        <w:tab/>
        <w:t>18</w:t>
      </w:r>
    </w:p>
    <w:p w:rsidR="00573862" w:rsidRPr="00460C1E" w:rsidRDefault="00573862" w:rsidP="00573862">
      <w:pPr>
        <w:tabs>
          <w:tab w:val="right" w:leader="dot" w:pos="9540"/>
        </w:tabs>
        <w:spacing w:before="120"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Aneks. Korekta danych dotyczących zużycia węgla kamiennego za lata 2003-2012</w:t>
      </w:r>
      <w:r>
        <w:rPr>
          <w:rFonts w:ascii="Times New Roman" w:eastAsia="Times New Roman" w:hAnsi="Times New Roman" w:cs="Times New Roman"/>
          <w:sz w:val="24"/>
          <w:szCs w:val="24"/>
          <w:lang w:eastAsia="pl-PL"/>
        </w:rPr>
        <w:tab/>
        <w:t>19</w:t>
      </w:r>
    </w:p>
    <w:p w:rsidR="00460C1E" w:rsidRPr="00F35ECE" w:rsidRDefault="00573862" w:rsidP="00F35ECE">
      <w:pPr>
        <w:tabs>
          <w:tab w:val="right" w:leader="dot" w:pos="954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Bibliografia</w:t>
      </w:r>
      <w:r>
        <w:rPr>
          <w:rFonts w:ascii="Times New Roman" w:eastAsia="Times New Roman" w:hAnsi="Times New Roman" w:cs="Times New Roman"/>
          <w:sz w:val="24"/>
          <w:szCs w:val="24"/>
          <w:lang w:eastAsia="pl-PL"/>
        </w:rPr>
        <w:tab/>
        <w:t>22</w:t>
      </w:r>
    </w:p>
    <w:p w:rsidR="00460C1E" w:rsidRDefault="00460C1E" w:rsidP="00F35ECE">
      <w:pPr>
        <w:tabs>
          <w:tab w:val="right" w:leader="dot" w:pos="9540"/>
        </w:tabs>
        <w:spacing w:after="0" w:line="360" w:lineRule="auto"/>
        <w:rPr>
          <w:rFonts w:ascii="Times New Roman" w:eastAsia="Times New Roman" w:hAnsi="Times New Roman" w:cs="Times New Roman"/>
          <w:sz w:val="24"/>
          <w:szCs w:val="24"/>
          <w:lang w:eastAsia="pl-PL"/>
        </w:rPr>
      </w:pPr>
    </w:p>
    <w:p w:rsidR="00460C1E" w:rsidRPr="00460C1E" w:rsidRDefault="00460C1E" w:rsidP="00F35ECE">
      <w:pPr>
        <w:spacing w:after="0" w:line="360" w:lineRule="auto"/>
        <w:jc w:val="center"/>
        <w:rPr>
          <w:rFonts w:ascii="Times New Roman" w:eastAsia="Times New Roman" w:hAnsi="Times New Roman" w:cs="Times New Roman"/>
          <w:b/>
          <w:sz w:val="32"/>
          <w:szCs w:val="32"/>
          <w:lang w:val="en-US" w:eastAsia="pl-PL"/>
        </w:rPr>
      </w:pPr>
      <w:r w:rsidRPr="00460C1E">
        <w:rPr>
          <w:rFonts w:ascii="Times New Roman" w:eastAsia="Times New Roman" w:hAnsi="Times New Roman" w:cs="Times New Roman"/>
          <w:b/>
          <w:sz w:val="32"/>
          <w:szCs w:val="32"/>
          <w:lang w:val="en-US" w:eastAsia="pl-PL"/>
        </w:rPr>
        <w:t>Contents</w:t>
      </w:r>
    </w:p>
    <w:p w:rsidR="00460C1E" w:rsidRPr="00460C1E" w:rsidRDefault="00460C1E" w:rsidP="00F35ECE">
      <w:pPr>
        <w:spacing w:after="0" w:line="360" w:lineRule="auto"/>
        <w:rPr>
          <w:rFonts w:ascii="Times New Roman" w:eastAsia="Times New Roman" w:hAnsi="Times New Roman" w:cs="Times New Roman"/>
          <w:b/>
          <w:sz w:val="24"/>
          <w:szCs w:val="24"/>
          <w:lang w:val="en-US" w:eastAsia="pl-PL"/>
        </w:rPr>
      </w:pP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Methodological remarks</w:t>
      </w:r>
      <w:r w:rsidRPr="00460C1E">
        <w:rPr>
          <w:rFonts w:ascii="Times New Roman" w:eastAsia="Times New Roman" w:hAnsi="Times New Roman" w:cs="Times New Roman"/>
          <w:sz w:val="24"/>
          <w:szCs w:val="24"/>
          <w:lang w:val="en-US" w:eastAsia="pl-PL"/>
        </w:rPr>
        <w:tab/>
        <w:t>5</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Synthesis</w:t>
      </w:r>
      <w:r w:rsidRPr="00460C1E">
        <w:rPr>
          <w:rFonts w:ascii="Times New Roman" w:eastAsia="Times New Roman" w:hAnsi="Times New Roman" w:cs="Times New Roman"/>
          <w:sz w:val="24"/>
          <w:szCs w:val="24"/>
          <w:lang w:val="en-US" w:eastAsia="pl-PL"/>
        </w:rPr>
        <w:tab/>
        <w:t>8</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p>
    <w:p w:rsidR="00460C1E" w:rsidRPr="00460C1E" w:rsidRDefault="00460C1E" w:rsidP="00F35ECE">
      <w:pPr>
        <w:tabs>
          <w:tab w:val="right" w:leader="dot" w:pos="9540"/>
        </w:tabs>
        <w:spacing w:after="0" w:line="360" w:lineRule="auto"/>
        <w:jc w:val="both"/>
        <w:rPr>
          <w:rFonts w:ascii="Times New Roman" w:eastAsia="Times New Roman" w:hAnsi="Times New Roman" w:cs="Times New Roman"/>
          <w:b/>
          <w:sz w:val="24"/>
          <w:szCs w:val="24"/>
          <w:lang w:val="en-US" w:eastAsia="pl-PL"/>
        </w:rPr>
      </w:pPr>
      <w:r w:rsidRPr="00460C1E">
        <w:rPr>
          <w:rFonts w:ascii="Times New Roman" w:eastAsia="Times New Roman" w:hAnsi="Times New Roman" w:cs="Times New Roman"/>
          <w:b/>
          <w:sz w:val="24"/>
          <w:szCs w:val="24"/>
          <w:lang w:val="en-US" w:eastAsia="pl-PL"/>
        </w:rPr>
        <w:t>LIST OF TABLES</w:t>
      </w:r>
    </w:p>
    <w:p w:rsidR="00460C1E" w:rsidRPr="00460C1E" w:rsidRDefault="00460C1E" w:rsidP="00F35ECE">
      <w:pPr>
        <w:tabs>
          <w:tab w:val="right" w:leader="dot" w:pos="9540"/>
        </w:tabs>
        <w:spacing w:after="0" w:line="360" w:lineRule="auto"/>
        <w:jc w:val="both"/>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1. Consumption of hard coal [</w:t>
      </w:r>
      <w:r w:rsidRPr="00460C1E">
        <w:rPr>
          <w:rFonts w:ascii="Times New Roman" w:eastAsia="Times New Roman" w:hAnsi="Times New Roman" w:cs="Times New Roman"/>
          <w:sz w:val="24"/>
          <w:szCs w:val="24"/>
          <w:lang w:val="en-GB" w:eastAsia="pl-PL"/>
        </w:rPr>
        <w:t>thousand tonnes</w:t>
      </w:r>
      <w:r w:rsidRPr="00460C1E">
        <w:rPr>
          <w:rFonts w:ascii="Times New Roman" w:eastAsia="Times New Roman" w:hAnsi="Times New Roman" w:cs="Times New Roman"/>
          <w:sz w:val="24"/>
          <w:szCs w:val="24"/>
          <w:lang w:val="en-US" w:eastAsia="pl-PL"/>
        </w:rPr>
        <w:t>]</w:t>
      </w:r>
      <w:r w:rsidRPr="00460C1E">
        <w:rPr>
          <w:rFonts w:ascii="Times New Roman" w:eastAsia="Times New Roman" w:hAnsi="Times New Roman" w:cs="Times New Roman"/>
          <w:sz w:val="24"/>
          <w:szCs w:val="24"/>
          <w:lang w:val="en-US" w:eastAsia="pl-PL"/>
        </w:rPr>
        <w:tab/>
        <w:t>12</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2. Consumption of natural gas [TJ]</w:t>
      </w:r>
      <w:r w:rsidRPr="00460C1E">
        <w:rPr>
          <w:rFonts w:ascii="Times New Roman" w:eastAsia="Times New Roman" w:hAnsi="Times New Roman" w:cs="Times New Roman"/>
          <w:sz w:val="24"/>
          <w:szCs w:val="24"/>
          <w:lang w:val="en-US" w:eastAsia="pl-PL"/>
        </w:rPr>
        <w:tab/>
        <w:t>13</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3. Consumption of liquid gas (excluding vehicles) [</w:t>
      </w:r>
      <w:r w:rsidRPr="00460C1E">
        <w:rPr>
          <w:rFonts w:ascii="Times New Roman" w:eastAsia="Times New Roman" w:hAnsi="Times New Roman" w:cs="Times New Roman"/>
          <w:sz w:val="24"/>
          <w:szCs w:val="24"/>
          <w:lang w:val="en-GB" w:eastAsia="pl-PL"/>
        </w:rPr>
        <w:t>thousand tonnes</w:t>
      </w:r>
      <w:r w:rsidRPr="00460C1E">
        <w:rPr>
          <w:rFonts w:ascii="Times New Roman" w:eastAsia="Times New Roman" w:hAnsi="Times New Roman" w:cs="Times New Roman"/>
          <w:sz w:val="24"/>
          <w:szCs w:val="24"/>
          <w:lang w:val="en-US" w:eastAsia="pl-PL"/>
        </w:rPr>
        <w:t>]</w:t>
      </w:r>
      <w:r w:rsidRPr="00460C1E">
        <w:rPr>
          <w:rFonts w:ascii="Times New Roman" w:eastAsia="Times New Roman" w:hAnsi="Times New Roman" w:cs="Times New Roman"/>
          <w:sz w:val="24"/>
          <w:szCs w:val="24"/>
          <w:lang w:val="en-US" w:eastAsia="pl-PL"/>
        </w:rPr>
        <w:tab/>
        <w:t>14</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4. Consumption of light fuel oil [</w:t>
      </w:r>
      <w:r w:rsidRPr="00460C1E">
        <w:rPr>
          <w:rFonts w:ascii="Times New Roman" w:eastAsia="Times New Roman" w:hAnsi="Times New Roman" w:cs="Times New Roman"/>
          <w:sz w:val="24"/>
          <w:szCs w:val="24"/>
          <w:lang w:val="en-GB" w:eastAsia="pl-PL"/>
        </w:rPr>
        <w:t>thousand tonnes</w:t>
      </w:r>
      <w:r w:rsidRPr="00460C1E">
        <w:rPr>
          <w:rFonts w:ascii="Times New Roman" w:eastAsia="Times New Roman" w:hAnsi="Times New Roman" w:cs="Times New Roman"/>
          <w:sz w:val="24"/>
          <w:szCs w:val="24"/>
          <w:lang w:val="en-US" w:eastAsia="pl-PL"/>
        </w:rPr>
        <w:t>]</w:t>
      </w:r>
      <w:r w:rsidRPr="00460C1E">
        <w:rPr>
          <w:rFonts w:ascii="Times New Roman" w:eastAsia="Times New Roman" w:hAnsi="Times New Roman" w:cs="Times New Roman"/>
          <w:sz w:val="24"/>
          <w:szCs w:val="24"/>
          <w:lang w:val="en-US" w:eastAsia="pl-PL"/>
        </w:rPr>
        <w:tab/>
        <w:t>15</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5. Consumption of heavy fuel oil [</w:t>
      </w:r>
      <w:r w:rsidRPr="00460C1E">
        <w:rPr>
          <w:rFonts w:ascii="Times New Roman" w:eastAsia="Times New Roman" w:hAnsi="Times New Roman" w:cs="Times New Roman"/>
          <w:sz w:val="24"/>
          <w:szCs w:val="24"/>
          <w:lang w:val="en-GB" w:eastAsia="pl-PL"/>
        </w:rPr>
        <w:t>thousand tonnes</w:t>
      </w:r>
      <w:r w:rsidRPr="00460C1E">
        <w:rPr>
          <w:rFonts w:ascii="Times New Roman" w:eastAsia="Times New Roman" w:hAnsi="Times New Roman" w:cs="Times New Roman"/>
          <w:sz w:val="24"/>
          <w:szCs w:val="24"/>
          <w:lang w:val="en-US" w:eastAsia="pl-PL"/>
        </w:rPr>
        <w:t>]</w:t>
      </w:r>
      <w:r w:rsidRPr="00460C1E">
        <w:rPr>
          <w:rFonts w:ascii="Times New Roman" w:eastAsia="Times New Roman" w:hAnsi="Times New Roman" w:cs="Times New Roman"/>
          <w:sz w:val="24"/>
          <w:szCs w:val="24"/>
          <w:lang w:val="en-US" w:eastAsia="pl-PL"/>
        </w:rPr>
        <w:tab/>
        <w:t>16</w:t>
      </w:r>
    </w:p>
    <w:p w:rsidR="00460C1E" w:rsidRP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6. Consumption of heat [TJ]</w:t>
      </w:r>
      <w:r w:rsidRPr="00460C1E">
        <w:rPr>
          <w:rFonts w:ascii="Times New Roman" w:eastAsia="Times New Roman" w:hAnsi="Times New Roman" w:cs="Times New Roman"/>
          <w:sz w:val="24"/>
          <w:szCs w:val="24"/>
          <w:lang w:val="en-US" w:eastAsia="pl-PL"/>
        </w:rPr>
        <w:tab/>
        <w:t>17</w:t>
      </w:r>
    </w:p>
    <w:p w:rsidR="00460C1E" w:rsidRDefault="00460C1E" w:rsidP="00F35ECE">
      <w:pPr>
        <w:tabs>
          <w:tab w:val="right" w:leader="dot" w:pos="9540"/>
        </w:tabs>
        <w:spacing w:after="0" w:line="360" w:lineRule="auto"/>
        <w:rPr>
          <w:rFonts w:ascii="Times New Roman" w:eastAsia="Times New Roman" w:hAnsi="Times New Roman" w:cs="Times New Roman"/>
          <w:sz w:val="24"/>
          <w:szCs w:val="24"/>
          <w:lang w:val="en-US" w:eastAsia="pl-PL"/>
        </w:rPr>
      </w:pPr>
      <w:r w:rsidRPr="00460C1E">
        <w:rPr>
          <w:rFonts w:ascii="Times New Roman" w:eastAsia="Times New Roman" w:hAnsi="Times New Roman" w:cs="Times New Roman"/>
          <w:sz w:val="24"/>
          <w:szCs w:val="24"/>
          <w:lang w:val="en-US" w:eastAsia="pl-PL"/>
        </w:rPr>
        <w:t>Table 7. Consumption of electricity [</w:t>
      </w:r>
      <w:proofErr w:type="spellStart"/>
      <w:r w:rsidRPr="00460C1E">
        <w:rPr>
          <w:rFonts w:ascii="Times New Roman" w:eastAsia="Times New Roman" w:hAnsi="Times New Roman" w:cs="Times New Roman"/>
          <w:sz w:val="24"/>
          <w:szCs w:val="24"/>
          <w:lang w:val="en-US" w:eastAsia="pl-PL"/>
        </w:rPr>
        <w:t>GWh</w:t>
      </w:r>
      <w:proofErr w:type="spellEnd"/>
      <w:r w:rsidRPr="00460C1E">
        <w:rPr>
          <w:rFonts w:ascii="Times New Roman" w:eastAsia="Times New Roman" w:hAnsi="Times New Roman" w:cs="Times New Roman"/>
          <w:sz w:val="24"/>
          <w:szCs w:val="24"/>
          <w:lang w:val="en-US" w:eastAsia="pl-PL"/>
        </w:rPr>
        <w:t>]</w:t>
      </w:r>
      <w:r w:rsidRPr="00460C1E">
        <w:rPr>
          <w:rFonts w:ascii="Times New Roman" w:eastAsia="Times New Roman" w:hAnsi="Times New Roman" w:cs="Times New Roman"/>
          <w:sz w:val="24"/>
          <w:szCs w:val="24"/>
          <w:lang w:val="en-US" w:eastAsia="pl-PL"/>
        </w:rPr>
        <w:tab/>
        <w:t>18</w:t>
      </w:r>
    </w:p>
    <w:p w:rsidR="00573862" w:rsidRPr="00460C1E" w:rsidRDefault="00573862" w:rsidP="00573862">
      <w:pPr>
        <w:tabs>
          <w:tab w:val="right" w:leader="dot" w:pos="9540"/>
        </w:tabs>
        <w:spacing w:before="120" w:after="0" w:line="36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Annex. Revision of data concerning hard coal consumption in years 2003-2012</w:t>
      </w:r>
      <w:r>
        <w:rPr>
          <w:rFonts w:ascii="Times New Roman" w:eastAsia="Times New Roman" w:hAnsi="Times New Roman" w:cs="Times New Roman"/>
          <w:sz w:val="24"/>
          <w:szCs w:val="24"/>
          <w:lang w:val="en-US" w:eastAsia="pl-PL"/>
        </w:rPr>
        <w:tab/>
        <w:t>19</w:t>
      </w:r>
    </w:p>
    <w:p w:rsidR="00460C1E" w:rsidRDefault="00573862" w:rsidP="00F35ECE">
      <w:pPr>
        <w:tabs>
          <w:tab w:val="right" w:leader="dot" w:pos="9540"/>
        </w:tabs>
        <w:spacing w:after="0" w:line="36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Bibliography</w:t>
      </w:r>
      <w:proofErr w:type="spellEnd"/>
      <w:r>
        <w:rPr>
          <w:rFonts w:ascii="Times New Roman" w:eastAsia="Times New Roman" w:hAnsi="Times New Roman" w:cs="Times New Roman"/>
          <w:sz w:val="24"/>
          <w:szCs w:val="24"/>
          <w:lang w:eastAsia="pl-PL"/>
        </w:rPr>
        <w:tab/>
        <w:t>22</w:t>
      </w:r>
    </w:p>
    <w:p w:rsidR="00F35ECE" w:rsidRDefault="00F35ECE" w:rsidP="00F35ECE">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460C1E" w:rsidRPr="00460C1E" w:rsidRDefault="00460C1E" w:rsidP="00460C1E">
      <w:pPr>
        <w:spacing w:after="120" w:line="360" w:lineRule="auto"/>
        <w:jc w:val="center"/>
        <w:rPr>
          <w:rFonts w:ascii="Times New Roman" w:eastAsia="Times New Roman" w:hAnsi="Times New Roman" w:cs="Times New Roman"/>
          <w:sz w:val="24"/>
          <w:szCs w:val="24"/>
          <w:lang w:eastAsia="pl-PL"/>
        </w:rPr>
      </w:pPr>
      <w:r w:rsidRPr="00460C1E">
        <w:rPr>
          <w:rFonts w:ascii="Times New Roman" w:eastAsia="Times New Roman" w:hAnsi="Times New Roman" w:cs="Times New Roman"/>
          <w:b/>
          <w:sz w:val="24"/>
          <w:szCs w:val="24"/>
          <w:lang w:eastAsia="pl-PL"/>
        </w:rPr>
        <w:lastRenderedPageBreak/>
        <w:t>UWAGI METODOLOGICZNE</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p>
    <w:p w:rsidR="00F35EC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Niniejsze opracowanie przedstawia zużycie paliw i nośników energii w 2015 r. w układzie regionalnym</w:t>
      </w:r>
      <w:r w:rsidR="00F35ECE">
        <w:rPr>
          <w:rFonts w:ascii="Times New Roman" w:eastAsia="Times New Roman" w:hAnsi="Times New Roman" w:cs="Times New Roman"/>
          <w:sz w:val="24"/>
          <w:szCs w:val="24"/>
          <w:lang w:eastAsia="pl-PL"/>
        </w:rPr>
        <w:t>.</w:t>
      </w:r>
    </w:p>
    <w:p w:rsidR="00573862"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Prezentowane dane dotyczą 7 najpowszechniej stosowanych paliw i nośników energii tj. węgla kamiennego, gazu ziemnego, gazu ciekłego, lekkiego oleju opałowego, ciężkiego oleju opałowego, ciepła i energii elektrycznej.</w:t>
      </w:r>
    </w:p>
    <w:p w:rsidR="00460C1E" w:rsidRPr="00460C1E" w:rsidRDefault="00573862" w:rsidP="00460C1E">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niniejszej publikacji zamieszczono aneks zawierający skorygowane dane o zużyciu węgla kamiennego za lata 2003-2012 w sektorze drobnych odbiorców i w sektorze gospodarstw domowych. Wyniki przeprowadzonych badań zużycia paliw i energii w gospodarstwach domowych wskazały na wyższe zużycie w wyżej wymienionych sektorach niż dotychczasowe oszacowania.</w:t>
      </w:r>
    </w:p>
    <w:p w:rsidR="00460C1E" w:rsidRPr="00460C1E" w:rsidRDefault="00573862" w:rsidP="00460C1E">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Ź</w:t>
      </w:r>
      <w:r w:rsidR="00460C1E" w:rsidRPr="00460C1E">
        <w:rPr>
          <w:rFonts w:ascii="Times New Roman" w:eastAsia="Times New Roman" w:hAnsi="Times New Roman" w:cs="Times New Roman"/>
          <w:sz w:val="24"/>
          <w:szCs w:val="24"/>
          <w:lang w:eastAsia="pl-PL"/>
        </w:rPr>
        <w:t xml:space="preserve">ródłem prezentowanych informacji są sprawozdania zbierane w ramach programu badań statystycznych statystyki publicznej 2015 prowadzonych przez GUS oraz </w:t>
      </w:r>
      <w:r w:rsidR="007901B3">
        <w:rPr>
          <w:rFonts w:ascii="Times New Roman" w:eastAsia="Times New Roman" w:hAnsi="Times New Roman" w:cs="Times New Roman"/>
          <w:sz w:val="24"/>
          <w:szCs w:val="24"/>
          <w:lang w:eastAsia="pl-PL"/>
        </w:rPr>
        <w:t>Ministerstwo Energii</w:t>
      </w:r>
      <w:r w:rsidR="00460C1E" w:rsidRPr="00460C1E">
        <w:rPr>
          <w:rFonts w:ascii="Times New Roman" w:eastAsia="Times New Roman" w:hAnsi="Times New Roman" w:cs="Times New Roman"/>
          <w:sz w:val="24"/>
          <w:szCs w:val="24"/>
          <w:lang w:eastAsia="pl-PL"/>
        </w:rPr>
        <w:t xml:space="preserve"> na formularzach:</w:t>
      </w:r>
    </w:p>
    <w:p w:rsidR="00460C1E" w:rsidRPr="00460C1E" w:rsidRDefault="00460C1E" w:rsidP="00460C1E">
      <w:pPr>
        <w:numPr>
          <w:ilvl w:val="0"/>
          <w:numId w:val="1"/>
        </w:numPr>
        <w:spacing w:after="12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G-02 – Sprawozdanie bilansowe nośników energii i infrastruktury ciepłowniczej,</w:t>
      </w:r>
    </w:p>
    <w:p w:rsidR="00460C1E" w:rsidRPr="00460C1E" w:rsidRDefault="00460C1E" w:rsidP="00460C1E">
      <w:pPr>
        <w:numPr>
          <w:ilvl w:val="0"/>
          <w:numId w:val="1"/>
        </w:numPr>
        <w:spacing w:after="12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 xml:space="preserve">G-03 – Sprawozdanie o zużyciu paliw i energii, </w:t>
      </w:r>
    </w:p>
    <w:p w:rsidR="00460C1E" w:rsidRPr="00460C1E" w:rsidRDefault="00460C1E" w:rsidP="00460C1E">
      <w:pPr>
        <w:numPr>
          <w:ilvl w:val="0"/>
          <w:numId w:val="1"/>
        </w:numPr>
        <w:spacing w:after="12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G-09.1 – Sprawozdanie o obrocie węglem kamiennym,</w:t>
      </w:r>
    </w:p>
    <w:p w:rsidR="00460C1E" w:rsidRPr="00460C1E" w:rsidRDefault="00460C1E" w:rsidP="00460C1E">
      <w:pPr>
        <w:numPr>
          <w:ilvl w:val="0"/>
          <w:numId w:val="1"/>
        </w:numPr>
        <w:spacing w:after="12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G-10 – Sprawozdania z działalności przedsiębiorstw elektroenergetyki i ciepłownictwa,</w:t>
      </w:r>
    </w:p>
    <w:p w:rsidR="00460C1E" w:rsidRDefault="00460C1E" w:rsidP="00460C1E">
      <w:pPr>
        <w:numPr>
          <w:ilvl w:val="0"/>
          <w:numId w:val="1"/>
        </w:numPr>
        <w:spacing w:after="120" w:line="360" w:lineRule="auto"/>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RAF-1 – Sprawozdanie z rozliczenia procesu przemiany w przedsiębiorstwach wytwarzających i przetwarzających p</w:t>
      </w:r>
      <w:r w:rsidR="00573862">
        <w:rPr>
          <w:rFonts w:ascii="Times New Roman" w:eastAsia="Times New Roman" w:hAnsi="Times New Roman" w:cs="Times New Roman"/>
          <w:sz w:val="24"/>
          <w:szCs w:val="24"/>
          <w:lang w:eastAsia="pl-PL"/>
        </w:rPr>
        <w:t>rodukty rafinacji ropy naftowej,</w:t>
      </w:r>
    </w:p>
    <w:p w:rsidR="00573862" w:rsidRPr="00460C1E" w:rsidRDefault="00573862" w:rsidP="00460C1E">
      <w:pPr>
        <w:numPr>
          <w:ilvl w:val="0"/>
          <w:numId w:val="1"/>
        </w:numPr>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E-GD – ankieta o zużyciu paliw i energii w gospodarstwach domowych.</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Poszczególne wiersze w tablicach zdefiniowano przy zastosowaniu Polskiej Klasyfikacji Działalności w następujący sposób:</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Elektrownie i elektrociepłownie zawodowe – elektrownie i elektrociepłownie podmiotów gospodarczych zaliczanych do grup 35.1 i 35.3 (bez kotłów ciepłowniczych, produkujących wyłącznie ciepło),</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lastRenderedPageBreak/>
        <w:t>Elektrociepłownie przemysłowe – elektrownie i elektrociepłownie podmiotów gospodarczych zaliczanych do pozostałych grupowań PKD,</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Kotły ciepłownicze energetyki zawodowej – obiekty podmiotów gospodarczych zaliczonych do grupy 35.1 produkujące wyłącznie ciepło,</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Ciepłownie niezawodowe – ciepłownie podmiotów gospodarczych zaliczanych do grup innych niż 35.1 i 35.3,</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Ciepłownie zawodowe – ciepłownie podmiotów gospodarczych, zaliczanych do grupy 35.3,</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Koksownie – obiekty podmiotów gospodarczych zaliczanych do klasy 19.10 oraz obiekty realizujące przemianę energetyczną „koksownia” działające w ramach klas innych niż 19.10,</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Rafinerie – obiekty podmiotów gospodarczych zaliczanych do klasy 19.20 realizujące przemianę energetyczną „rafineria”,</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Przemysł i budownictwo – zużycie bezpośrednie danego nośnika energii przez podmioty zaliczane do sekcji C i F,</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Transport – zużycie bezpośrednie danego nośnika energii przez podmioty zaliczane do sekcji H,</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Sektor drobnych odbiorców – zużycie bezpośrednie danego nośnika energii przez podmioty nie objęte regularnymi badaniami statystycznymi,</w:t>
      </w:r>
    </w:p>
    <w:p w:rsidR="00460C1E" w:rsidRPr="00460C1E" w:rsidRDefault="00460C1E" w:rsidP="00460C1E">
      <w:pPr>
        <w:numPr>
          <w:ilvl w:val="0"/>
          <w:numId w:val="2"/>
        </w:num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Rolnictwo – zużycie bezpośrednie danego nośnika energii przez podmioty zaliczane do sekcji A (czyli rolnictwo łącznie z leśnictwem, łowiectwem, rybołówstwem i rybactwem).</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Przy rozliczaniu zużycia paliw w elektrociepłowniach przemysłowych i ciepłowniach niezawodowych uwzględniono tylko tę część paliwa, która została zużyta na produkcję ciepła komercyjnego ( tzn. ciepła będącego przedmiotem obrotu handlowego).</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Zużycie bezpośrednie nośników energii w przemyśle, budownictwie i transporcie zawiera także zużycie paliw na produkcję ciepła zużytego na potrzeby własne przedsiębiorstwa.</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 xml:space="preserve">Zużycie nośników energii w sektorze transportu w podziale na województwa nie w pełni odpowiada rzeczywistej wielkości zużycia w województwach z uwagi na dostępność danych z przedsiębiorstw i tak np. w województwie mazowieckim jest zawyżone, ponieważ </w:t>
      </w:r>
      <w:r w:rsidRPr="00460C1E">
        <w:rPr>
          <w:rFonts w:ascii="Times New Roman" w:eastAsia="Times New Roman" w:hAnsi="Times New Roman" w:cs="Times New Roman"/>
          <w:sz w:val="24"/>
          <w:szCs w:val="24"/>
          <w:lang w:eastAsia="pl-PL"/>
        </w:rPr>
        <w:lastRenderedPageBreak/>
        <w:t>przedsiębiorstwa transportowe wykazują całe zużycie w miejscu swojej siedziby (bez podziału na poszczególne województwa).</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 xml:space="preserve">Zgodnie z zasadami obowiązującymi w UE i IEA </w:t>
      </w:r>
      <w:r w:rsidR="00573862">
        <w:rPr>
          <w:rFonts w:ascii="Times New Roman" w:eastAsia="Times New Roman" w:hAnsi="Times New Roman" w:cs="Times New Roman"/>
          <w:sz w:val="24"/>
          <w:szCs w:val="24"/>
          <w:lang w:eastAsia="pl-PL"/>
        </w:rPr>
        <w:t xml:space="preserve">(Międzynarodowa Agencja Energetyczna) </w:t>
      </w:r>
      <w:r w:rsidRPr="00460C1E">
        <w:rPr>
          <w:rFonts w:ascii="Times New Roman" w:eastAsia="Times New Roman" w:hAnsi="Times New Roman" w:cs="Times New Roman"/>
          <w:sz w:val="24"/>
          <w:szCs w:val="24"/>
          <w:lang w:eastAsia="pl-PL"/>
        </w:rPr>
        <w:t>zużycie w pozycji „Rolnictwo” obejmuje tylko zużycie na cele produkcyjne.</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Generalna zasada określania wielkości zużycia poszczególnych nośników w sektorze drobnych odbiorców polega na tym, że na podstawie badań ankietowych oraz innych parametrów strukturalnych charakteryzujących te sektory określa się wielkość jednostkowego zużycia energii (na 1 osobę, na 1 m</w:t>
      </w:r>
      <w:r w:rsidRPr="00460C1E">
        <w:rPr>
          <w:rFonts w:ascii="Times New Roman" w:eastAsia="Times New Roman" w:hAnsi="Times New Roman" w:cs="Times New Roman"/>
          <w:sz w:val="24"/>
          <w:szCs w:val="24"/>
          <w:vertAlign w:val="superscript"/>
          <w:lang w:eastAsia="pl-PL"/>
        </w:rPr>
        <w:t>2</w:t>
      </w:r>
      <w:r w:rsidRPr="00460C1E">
        <w:rPr>
          <w:rFonts w:ascii="Times New Roman" w:eastAsia="Times New Roman" w:hAnsi="Times New Roman" w:cs="Times New Roman"/>
          <w:sz w:val="24"/>
          <w:szCs w:val="24"/>
          <w:lang w:eastAsia="pl-PL"/>
        </w:rPr>
        <w:t xml:space="preserve"> itp.). Wielkości zużycia poszczególnych nośników w d</w:t>
      </w:r>
      <w:r w:rsidRPr="00460C1E">
        <w:rPr>
          <w:rFonts w:ascii="Times New Roman" w:eastAsia="Times New Roman" w:hAnsi="Times New Roman" w:cs="Times New Roman"/>
          <w:spacing w:val="4"/>
          <w:sz w:val="24"/>
          <w:szCs w:val="24"/>
          <w:lang w:eastAsia="pl-PL"/>
        </w:rPr>
        <w:t xml:space="preserve">anym sektorze i województwie są iloczynem wskaźników jednostkowych przez liczbę </w:t>
      </w:r>
      <w:r w:rsidRPr="00460C1E">
        <w:rPr>
          <w:rFonts w:ascii="Times New Roman" w:eastAsia="Times New Roman" w:hAnsi="Times New Roman" w:cs="Times New Roman"/>
          <w:sz w:val="24"/>
          <w:szCs w:val="24"/>
          <w:lang w:eastAsia="pl-PL"/>
        </w:rPr>
        <w:t>odbiorców (liczbę m</w:t>
      </w:r>
      <w:r w:rsidRPr="00460C1E">
        <w:rPr>
          <w:rFonts w:ascii="Times New Roman" w:eastAsia="Times New Roman" w:hAnsi="Times New Roman" w:cs="Times New Roman"/>
          <w:sz w:val="24"/>
          <w:szCs w:val="24"/>
          <w:vertAlign w:val="superscript"/>
          <w:lang w:eastAsia="pl-PL"/>
        </w:rPr>
        <w:t>2</w:t>
      </w:r>
      <w:r w:rsidRPr="00460C1E">
        <w:rPr>
          <w:rFonts w:ascii="Times New Roman" w:eastAsia="Times New Roman" w:hAnsi="Times New Roman" w:cs="Times New Roman"/>
          <w:sz w:val="24"/>
          <w:szCs w:val="24"/>
          <w:lang w:eastAsia="pl-PL"/>
        </w:rPr>
        <w:t>, itp.). Ważnym źródłem informacji o zużyciu sieciowych nośników energii są informacje z wewnętrznych systemów firm dystrybucyjnych (elektroenergetycznych i gazowniczych).</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W zużyciu gazu ziemnego nie zostało uwzględnione zużycie własne gazu na potrzeby technologiczne sektora gazowniczego.</w:t>
      </w:r>
    </w:p>
    <w:p w:rsidR="00460C1E" w:rsidRP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W tablicy 6 dotyczącej ciepła w wierszu „Przemysł” podano całkowite zużycie ciepła (czyli sumę ciepła zakupionego oraz ciepła z produkcji własnej). W pozostałych wierszach tej tablicy podano zużycie ciepła komercyjnego, co jest zgodne z zasadami metodycznymi obowiązującymi w UE i IEA</w:t>
      </w:r>
      <w:r w:rsidR="00573862">
        <w:rPr>
          <w:rFonts w:ascii="Times New Roman" w:eastAsia="Times New Roman" w:hAnsi="Times New Roman" w:cs="Times New Roman"/>
          <w:sz w:val="24"/>
          <w:szCs w:val="24"/>
          <w:lang w:eastAsia="pl-PL"/>
        </w:rPr>
        <w:t xml:space="preserve"> </w:t>
      </w:r>
      <w:r w:rsidR="00573862" w:rsidRPr="00573862">
        <w:rPr>
          <w:rFonts w:ascii="Times New Roman" w:eastAsia="Times New Roman" w:hAnsi="Times New Roman" w:cs="Times New Roman"/>
          <w:sz w:val="24"/>
          <w:szCs w:val="24"/>
          <w:lang w:eastAsia="pl-PL"/>
        </w:rPr>
        <w:t>(Międzynarodowa Agencja Energetyczna)</w:t>
      </w:r>
      <w:r w:rsidRPr="00460C1E">
        <w:rPr>
          <w:rFonts w:ascii="Times New Roman" w:eastAsia="Times New Roman" w:hAnsi="Times New Roman" w:cs="Times New Roman"/>
          <w:sz w:val="24"/>
          <w:szCs w:val="24"/>
          <w:lang w:eastAsia="pl-PL"/>
        </w:rPr>
        <w:t>.</w:t>
      </w:r>
    </w:p>
    <w:p w:rsidR="00460C1E" w:rsidRDefault="00460C1E" w:rsidP="00460C1E">
      <w:pPr>
        <w:spacing w:after="120" w:line="360" w:lineRule="auto"/>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Znak (–) oznacza nie występowanie zjawiska.</w:t>
      </w:r>
    </w:p>
    <w:p w:rsidR="00460C1E" w:rsidRDefault="00460C1E">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460C1E" w:rsidRPr="00460C1E" w:rsidRDefault="00460C1E" w:rsidP="00460C1E">
      <w:pPr>
        <w:spacing w:after="120" w:line="360" w:lineRule="auto"/>
        <w:jc w:val="center"/>
        <w:rPr>
          <w:rFonts w:ascii="Times New Roman" w:hAnsi="Times New Roman" w:cs="Times New Roman"/>
          <w:b/>
          <w:sz w:val="28"/>
          <w:szCs w:val="28"/>
        </w:rPr>
      </w:pPr>
      <w:r w:rsidRPr="00460C1E">
        <w:rPr>
          <w:rFonts w:ascii="Times New Roman" w:hAnsi="Times New Roman" w:cs="Times New Roman"/>
          <w:b/>
          <w:sz w:val="28"/>
          <w:szCs w:val="28"/>
        </w:rPr>
        <w:lastRenderedPageBreak/>
        <w:t>SYNTEZA</w:t>
      </w:r>
    </w:p>
    <w:p w:rsidR="00460C1E" w:rsidRPr="00460C1E" w:rsidRDefault="00460C1E" w:rsidP="00460C1E">
      <w:pPr>
        <w:spacing w:after="0" w:line="360" w:lineRule="auto"/>
        <w:jc w:val="both"/>
        <w:rPr>
          <w:rFonts w:ascii="Times New Roman" w:hAnsi="Times New Roman" w:cs="Times New Roman"/>
          <w:sz w:val="24"/>
          <w:szCs w:val="24"/>
        </w:rPr>
      </w:pPr>
      <w:r w:rsidRPr="00460C1E">
        <w:rPr>
          <w:rFonts w:ascii="Times New Roman" w:hAnsi="Times New Roman" w:cs="Times New Roman"/>
          <w:sz w:val="24"/>
          <w:szCs w:val="24"/>
        </w:rPr>
        <w:t xml:space="preserve">Zużycie </w:t>
      </w:r>
      <w:r w:rsidRPr="00460C1E">
        <w:rPr>
          <w:rFonts w:ascii="Times New Roman" w:hAnsi="Times New Roman" w:cs="Times New Roman"/>
          <w:b/>
          <w:sz w:val="24"/>
          <w:szCs w:val="24"/>
        </w:rPr>
        <w:t>węgla kamiennego</w:t>
      </w:r>
      <w:r w:rsidRPr="00460C1E">
        <w:rPr>
          <w:rFonts w:ascii="Times New Roman" w:hAnsi="Times New Roman" w:cs="Times New Roman"/>
          <w:sz w:val="24"/>
          <w:szCs w:val="24"/>
        </w:rPr>
        <w:t xml:space="preserve"> wyniosło w 2015 roku 72,3 mln ton (bez zużycia na ogrzewania w podmiotach zaliczanych do sekcji D). 59% zużycia przypadło na sektor energii, a blisko 25% na przemysł i budownictwo. Znaczącym konsumentem węgla są także gospodarstwa domowe (13%). W ujęciu wojewódzkim największe zużycie wystąpiło w województwach śląskim, mazowieckim i opolskim, a najmniejsze w lubuskim, podlaskim i warmińsko-mazurskim. Województwo śląskie wykazywało największe zużycie zarówno w sektorze energii jak i w przemyśle i budownictwie. W województwach śląskim i opolskim na wielkość zużycia w przemyśle i budownictwie duży wpływ miały zlokalizowane w tych województwach koksownie.</w:t>
      </w:r>
    </w:p>
    <w:p w:rsidR="00460C1E" w:rsidRPr="00460C1E" w:rsidRDefault="00460C1E" w:rsidP="00460C1E">
      <w:pPr>
        <w:keepNext/>
        <w:jc w:val="center"/>
        <w:rPr>
          <w:rFonts w:ascii="Times New Roman" w:hAnsi="Times New Roman" w:cs="Times New Roman"/>
          <w:b/>
          <w:sz w:val="24"/>
        </w:rPr>
      </w:pPr>
      <w:r w:rsidRPr="00460C1E">
        <w:rPr>
          <w:rFonts w:ascii="Times New Roman" w:hAnsi="Times New Roman" w:cs="Times New Roman"/>
          <w:b/>
          <w:sz w:val="24"/>
        </w:rPr>
        <w:t>Zużycie węgla kamiennego (tys. ton)</w:t>
      </w:r>
    </w:p>
    <w:p w:rsidR="00460C1E" w:rsidRPr="00460C1E" w:rsidRDefault="00460C1E" w:rsidP="00460C1E">
      <w:r w:rsidRPr="00460C1E">
        <w:rPr>
          <w:noProof/>
          <w:lang w:eastAsia="pl-PL"/>
        </w:rPr>
        <w:drawing>
          <wp:inline distT="0" distB="0" distL="0" distR="0" wp14:anchorId="06CF2A6F" wp14:editId="549BA9EF">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0C1E" w:rsidRPr="00460C1E" w:rsidRDefault="00460C1E" w:rsidP="00460C1E">
      <w:pPr>
        <w:spacing w:after="120" w:line="360" w:lineRule="auto"/>
        <w:jc w:val="both"/>
        <w:rPr>
          <w:rFonts w:ascii="Times New Roman" w:hAnsi="Times New Roman" w:cs="Times New Roman"/>
          <w:sz w:val="24"/>
          <w:szCs w:val="24"/>
        </w:rPr>
      </w:pPr>
      <w:r w:rsidRPr="00460C1E">
        <w:rPr>
          <w:rFonts w:ascii="Times New Roman" w:hAnsi="Times New Roman" w:cs="Times New Roman"/>
          <w:sz w:val="24"/>
          <w:szCs w:val="24"/>
        </w:rPr>
        <w:t xml:space="preserve">Zużycie </w:t>
      </w:r>
      <w:r w:rsidRPr="00460C1E">
        <w:rPr>
          <w:rFonts w:ascii="Times New Roman" w:hAnsi="Times New Roman" w:cs="Times New Roman"/>
          <w:b/>
          <w:sz w:val="24"/>
          <w:szCs w:val="24"/>
        </w:rPr>
        <w:t>gazu ziemnego</w:t>
      </w:r>
      <w:r w:rsidRPr="00460C1E">
        <w:rPr>
          <w:rFonts w:ascii="Times New Roman" w:hAnsi="Times New Roman" w:cs="Times New Roman"/>
          <w:sz w:val="24"/>
          <w:szCs w:val="24"/>
        </w:rPr>
        <w:t xml:space="preserve"> (bez uwzględnienia zużycia na potrzeby technologiczne sektora gazowniczego) wyniosło w 2015 r. 554,0 PJ. Największe zużycie gazu ziemnego wystąpiło w województwie mazowieckim (20,2% zużycia w kraju), a najmniejsze w podlaskim (0,8%). Zużycie gazu ziemnego w przemyśle i budownictwie stanowiło 49,8% zużycia ogółem, w sektorze energii 10,9%, w transporcie 3,2%, a w sektorze drobnych odbiorców 36,1%. Wysokie zużycie w transporcie w województwie mazowieckim wynika z faktu znajdowania się w tym województwie siedzib podmiotów działających na terytorium całego kraju.</w:t>
      </w:r>
    </w:p>
    <w:p w:rsidR="00460C1E" w:rsidRPr="00460C1E" w:rsidRDefault="00460C1E" w:rsidP="00460C1E">
      <w:pPr>
        <w:keepNext/>
        <w:jc w:val="center"/>
        <w:rPr>
          <w:rFonts w:ascii="Times New Roman" w:hAnsi="Times New Roman" w:cs="Times New Roman"/>
          <w:b/>
          <w:sz w:val="24"/>
          <w:szCs w:val="24"/>
        </w:rPr>
      </w:pPr>
      <w:r w:rsidRPr="00460C1E">
        <w:rPr>
          <w:rFonts w:ascii="Times New Roman" w:hAnsi="Times New Roman" w:cs="Times New Roman"/>
          <w:b/>
          <w:sz w:val="24"/>
          <w:szCs w:val="24"/>
        </w:rPr>
        <w:lastRenderedPageBreak/>
        <w:t>Zużycie gazu ziemnego (TJ)</w:t>
      </w:r>
    </w:p>
    <w:p w:rsidR="00460C1E" w:rsidRPr="00460C1E" w:rsidRDefault="00460C1E" w:rsidP="00460C1E">
      <w:r w:rsidRPr="00460C1E">
        <w:rPr>
          <w:noProof/>
          <w:lang w:eastAsia="pl-PL"/>
        </w:rPr>
        <w:drawing>
          <wp:inline distT="0" distB="0" distL="0" distR="0" wp14:anchorId="72D305D8" wp14:editId="24942F6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0C1E" w:rsidRPr="00460C1E" w:rsidRDefault="00460C1E" w:rsidP="00460C1E">
      <w:pPr>
        <w:spacing w:after="120" w:line="360" w:lineRule="auto"/>
        <w:jc w:val="both"/>
        <w:rPr>
          <w:rFonts w:ascii="Times New Roman" w:hAnsi="Times New Roman" w:cs="Times New Roman"/>
          <w:sz w:val="24"/>
          <w:szCs w:val="24"/>
        </w:rPr>
      </w:pPr>
      <w:r w:rsidRPr="00460C1E">
        <w:rPr>
          <w:rFonts w:ascii="Times New Roman" w:hAnsi="Times New Roman" w:cs="Times New Roman"/>
          <w:sz w:val="24"/>
          <w:szCs w:val="24"/>
        </w:rPr>
        <w:t xml:space="preserve">Zużycie </w:t>
      </w:r>
      <w:r w:rsidRPr="00460C1E">
        <w:rPr>
          <w:rFonts w:ascii="Times New Roman" w:hAnsi="Times New Roman" w:cs="Times New Roman"/>
          <w:b/>
          <w:sz w:val="24"/>
          <w:szCs w:val="24"/>
        </w:rPr>
        <w:t>ciepła</w:t>
      </w:r>
      <w:r w:rsidRPr="00460C1E">
        <w:rPr>
          <w:rFonts w:ascii="Times New Roman" w:hAnsi="Times New Roman" w:cs="Times New Roman"/>
          <w:sz w:val="24"/>
          <w:szCs w:val="24"/>
        </w:rPr>
        <w:t xml:space="preserve"> (bez zużycia w sekcjach B, D i E) wyniosło w 2015 r. 442,0 PJ. Zużycie ciepła w przemyśle </w:t>
      </w:r>
      <w:r w:rsidR="00573862">
        <w:rPr>
          <w:rFonts w:ascii="Times New Roman" w:hAnsi="Times New Roman" w:cs="Times New Roman"/>
          <w:sz w:val="24"/>
          <w:szCs w:val="24"/>
        </w:rPr>
        <w:t xml:space="preserve">i budownictwie (sekcja C i F) </w:t>
      </w:r>
      <w:r w:rsidRPr="00460C1E">
        <w:rPr>
          <w:rFonts w:ascii="Times New Roman" w:hAnsi="Times New Roman" w:cs="Times New Roman"/>
          <w:sz w:val="24"/>
          <w:szCs w:val="24"/>
        </w:rPr>
        <w:t>stanowiło 55% całego zużycia ciepła (w przypadku przemysłu uwzględniono również ciepło niekomercyjne). Na gospodarstwa domowe przypadło 37%. Największe zużycie wystąpiło w województwie maz</w:t>
      </w:r>
      <w:bookmarkStart w:id="0" w:name="_GoBack"/>
      <w:bookmarkEnd w:id="0"/>
      <w:r w:rsidRPr="00460C1E">
        <w:rPr>
          <w:rFonts w:ascii="Times New Roman" w:hAnsi="Times New Roman" w:cs="Times New Roman"/>
          <w:sz w:val="24"/>
          <w:szCs w:val="24"/>
        </w:rPr>
        <w:t>owieckim i wyniosło ponad 100 tys. TJ (tj. 23% zużycia w kraju), a najmniejsze w świętokrzyskim.</w:t>
      </w:r>
    </w:p>
    <w:p w:rsidR="00460C1E" w:rsidRPr="00460C1E" w:rsidRDefault="00460C1E" w:rsidP="00460C1E">
      <w:pPr>
        <w:keepNext/>
        <w:jc w:val="center"/>
        <w:rPr>
          <w:rFonts w:ascii="Times New Roman" w:hAnsi="Times New Roman" w:cs="Times New Roman"/>
          <w:b/>
          <w:sz w:val="24"/>
          <w:szCs w:val="24"/>
        </w:rPr>
      </w:pPr>
      <w:r w:rsidRPr="00460C1E">
        <w:rPr>
          <w:rFonts w:ascii="Times New Roman" w:hAnsi="Times New Roman" w:cs="Times New Roman"/>
          <w:b/>
          <w:sz w:val="24"/>
          <w:szCs w:val="24"/>
        </w:rPr>
        <w:t>Zużycie ciepła (TJ)</w:t>
      </w:r>
    </w:p>
    <w:p w:rsidR="00460C1E" w:rsidRPr="00460C1E" w:rsidRDefault="00460C1E" w:rsidP="00460C1E">
      <w:r w:rsidRPr="00460C1E">
        <w:rPr>
          <w:noProof/>
          <w:lang w:eastAsia="pl-PL"/>
        </w:rPr>
        <w:drawing>
          <wp:inline distT="0" distB="0" distL="0" distR="0" wp14:anchorId="63EA2BBF" wp14:editId="299D2F3B">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0C1E" w:rsidRPr="00460C1E" w:rsidRDefault="00460C1E" w:rsidP="00460C1E">
      <w:pPr>
        <w:spacing w:after="120" w:line="360" w:lineRule="auto"/>
        <w:jc w:val="both"/>
        <w:rPr>
          <w:rFonts w:ascii="Times New Roman" w:hAnsi="Times New Roman" w:cs="Times New Roman"/>
          <w:sz w:val="24"/>
          <w:szCs w:val="24"/>
        </w:rPr>
      </w:pPr>
      <w:r w:rsidRPr="00460C1E">
        <w:rPr>
          <w:rFonts w:ascii="Times New Roman" w:hAnsi="Times New Roman" w:cs="Times New Roman"/>
          <w:sz w:val="24"/>
          <w:szCs w:val="24"/>
        </w:rPr>
        <w:lastRenderedPageBreak/>
        <w:t xml:space="preserve">Zużycie </w:t>
      </w:r>
      <w:r w:rsidRPr="00460C1E">
        <w:rPr>
          <w:rFonts w:ascii="Times New Roman" w:hAnsi="Times New Roman" w:cs="Times New Roman"/>
          <w:b/>
          <w:sz w:val="24"/>
          <w:szCs w:val="24"/>
        </w:rPr>
        <w:t>energii elektrycznej</w:t>
      </w:r>
      <w:r w:rsidRPr="00460C1E">
        <w:rPr>
          <w:rFonts w:ascii="Times New Roman" w:hAnsi="Times New Roman" w:cs="Times New Roman"/>
          <w:sz w:val="24"/>
          <w:szCs w:val="24"/>
        </w:rPr>
        <w:t xml:space="preserve"> wyniosło w 2015 r. 150,3 </w:t>
      </w:r>
      <w:proofErr w:type="spellStart"/>
      <w:r w:rsidRPr="00460C1E">
        <w:rPr>
          <w:rFonts w:ascii="Times New Roman" w:hAnsi="Times New Roman" w:cs="Times New Roman"/>
          <w:sz w:val="24"/>
          <w:szCs w:val="24"/>
        </w:rPr>
        <w:t>TWh</w:t>
      </w:r>
      <w:proofErr w:type="spellEnd"/>
      <w:r w:rsidRPr="00460C1E">
        <w:rPr>
          <w:rFonts w:ascii="Times New Roman" w:hAnsi="Times New Roman" w:cs="Times New Roman"/>
          <w:sz w:val="24"/>
          <w:szCs w:val="24"/>
        </w:rPr>
        <w:t xml:space="preserve"> (bez zużycia bezpośredniego na ogrzewanie i oświetlenie w podmiotach zaliczanych do sekcji D). Największe zużycie energii elektrycznej </w:t>
      </w:r>
      <w:r w:rsidR="00573862">
        <w:rPr>
          <w:rFonts w:ascii="Times New Roman" w:hAnsi="Times New Roman" w:cs="Times New Roman"/>
          <w:sz w:val="24"/>
          <w:szCs w:val="24"/>
        </w:rPr>
        <w:t>odnotowano</w:t>
      </w:r>
      <w:r w:rsidRPr="00460C1E">
        <w:rPr>
          <w:rFonts w:ascii="Times New Roman" w:hAnsi="Times New Roman" w:cs="Times New Roman"/>
          <w:sz w:val="24"/>
          <w:szCs w:val="24"/>
        </w:rPr>
        <w:t xml:space="preserve"> w województwach śląskim (16,6% zużycia w kraju) i mazowieckim (16,2%), a najmniejsze w województwach podlaskim i lubuskim. W czterech województwach: dolnośląskim, łódzkim, małopolskim i wielkopolskim wielkość zużycia </w:t>
      </w:r>
      <w:r w:rsidR="00573862">
        <w:rPr>
          <w:rFonts w:ascii="Times New Roman" w:hAnsi="Times New Roman" w:cs="Times New Roman"/>
          <w:sz w:val="24"/>
          <w:szCs w:val="24"/>
        </w:rPr>
        <w:t>ukształtowała</w:t>
      </w:r>
      <w:r w:rsidRPr="00460C1E">
        <w:rPr>
          <w:rFonts w:ascii="Times New Roman" w:hAnsi="Times New Roman" w:cs="Times New Roman"/>
          <w:sz w:val="24"/>
          <w:szCs w:val="24"/>
        </w:rPr>
        <w:t xml:space="preserve"> się na zbliżonym i znaczącym poziomie (ok. 8% zużycia w kraju). Zużycie w przemyśle stanowiło 41% całości, a </w:t>
      </w:r>
      <w:r w:rsidR="00573862">
        <w:rPr>
          <w:rFonts w:ascii="Times New Roman" w:hAnsi="Times New Roman" w:cs="Times New Roman"/>
          <w:sz w:val="24"/>
          <w:szCs w:val="24"/>
        </w:rPr>
        <w:t>zużycie</w:t>
      </w:r>
      <w:r w:rsidRPr="00460C1E">
        <w:rPr>
          <w:rFonts w:ascii="Times New Roman" w:hAnsi="Times New Roman" w:cs="Times New Roman"/>
          <w:sz w:val="24"/>
          <w:szCs w:val="24"/>
        </w:rPr>
        <w:t xml:space="preserve"> pozostałych odbiorców 47%.</w:t>
      </w:r>
    </w:p>
    <w:p w:rsidR="00460C1E" w:rsidRPr="00460C1E" w:rsidRDefault="00460C1E" w:rsidP="00460C1E">
      <w:pPr>
        <w:keepNext/>
        <w:spacing w:after="0" w:line="360" w:lineRule="auto"/>
        <w:jc w:val="center"/>
        <w:rPr>
          <w:rFonts w:ascii="Times New Roman" w:hAnsi="Times New Roman" w:cs="Times New Roman"/>
          <w:b/>
          <w:sz w:val="24"/>
          <w:szCs w:val="24"/>
        </w:rPr>
      </w:pPr>
      <w:r w:rsidRPr="00460C1E">
        <w:rPr>
          <w:rFonts w:ascii="Times New Roman" w:hAnsi="Times New Roman" w:cs="Times New Roman"/>
          <w:b/>
          <w:sz w:val="24"/>
          <w:szCs w:val="24"/>
        </w:rPr>
        <w:t>Zużycie energii elektrycznej (</w:t>
      </w:r>
      <w:proofErr w:type="spellStart"/>
      <w:r w:rsidRPr="00460C1E">
        <w:rPr>
          <w:rFonts w:ascii="Times New Roman" w:hAnsi="Times New Roman" w:cs="Times New Roman"/>
          <w:b/>
          <w:sz w:val="24"/>
          <w:szCs w:val="24"/>
        </w:rPr>
        <w:t>GWh</w:t>
      </w:r>
      <w:proofErr w:type="spellEnd"/>
      <w:r w:rsidRPr="00460C1E">
        <w:rPr>
          <w:rFonts w:ascii="Times New Roman" w:hAnsi="Times New Roman" w:cs="Times New Roman"/>
          <w:b/>
          <w:sz w:val="24"/>
          <w:szCs w:val="24"/>
        </w:rPr>
        <w:t>)</w:t>
      </w:r>
    </w:p>
    <w:p w:rsidR="00460C1E" w:rsidRPr="00460C1E" w:rsidRDefault="00460C1E" w:rsidP="00460C1E">
      <w:r w:rsidRPr="00460C1E">
        <w:rPr>
          <w:noProof/>
          <w:lang w:eastAsia="pl-PL"/>
        </w:rPr>
        <w:drawing>
          <wp:inline distT="0" distB="0" distL="0" distR="0" wp14:anchorId="0E29B30B" wp14:editId="70C660D8">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0C1E" w:rsidRPr="00460C1E" w:rsidRDefault="00460C1E" w:rsidP="00460C1E">
      <w:pPr>
        <w:spacing w:after="120" w:line="360" w:lineRule="auto"/>
        <w:jc w:val="both"/>
        <w:rPr>
          <w:rFonts w:ascii="Times New Roman" w:hAnsi="Times New Roman" w:cs="Times New Roman"/>
          <w:sz w:val="24"/>
          <w:szCs w:val="24"/>
        </w:rPr>
      </w:pPr>
      <w:r w:rsidRPr="00460C1E">
        <w:rPr>
          <w:rFonts w:ascii="Times New Roman" w:hAnsi="Times New Roman" w:cs="Times New Roman"/>
          <w:sz w:val="24"/>
          <w:szCs w:val="24"/>
        </w:rPr>
        <w:t xml:space="preserve">Zużycie pozostałych nośników energii: </w:t>
      </w:r>
      <w:r w:rsidRPr="00573862">
        <w:rPr>
          <w:rFonts w:ascii="Times New Roman" w:hAnsi="Times New Roman" w:cs="Times New Roman"/>
          <w:b/>
          <w:sz w:val="24"/>
          <w:szCs w:val="24"/>
        </w:rPr>
        <w:t xml:space="preserve">gazu ciekłego, lekkiego oleju opałowego </w:t>
      </w:r>
      <w:r w:rsidRPr="00573862">
        <w:rPr>
          <w:rFonts w:ascii="Times New Roman" w:hAnsi="Times New Roman" w:cs="Times New Roman"/>
          <w:sz w:val="24"/>
          <w:szCs w:val="24"/>
        </w:rPr>
        <w:t xml:space="preserve">oraz </w:t>
      </w:r>
      <w:r w:rsidRPr="00573862">
        <w:rPr>
          <w:rFonts w:ascii="Times New Roman" w:hAnsi="Times New Roman" w:cs="Times New Roman"/>
          <w:b/>
          <w:sz w:val="24"/>
          <w:szCs w:val="24"/>
        </w:rPr>
        <w:t>ciężkiego oleju opałowego</w:t>
      </w:r>
      <w:r w:rsidRPr="00460C1E">
        <w:rPr>
          <w:rFonts w:ascii="Times New Roman" w:hAnsi="Times New Roman" w:cs="Times New Roman"/>
          <w:sz w:val="24"/>
          <w:szCs w:val="24"/>
        </w:rPr>
        <w:t xml:space="preserve"> było znacznie mniejsze i wyniosło odpowiednio 0,9, 0,7 oraz 1,1 mln ton (w przypadku gazu skroplonego uwzględniono jedynie zużycie stacjonarne). W przypadku gazu ciekłego i lekkiego oleju opałowego większość zużycia miała miejsce w sektorze drobnych odbiorców, natomiast w przypadku ciężkiego oleju opałowego był to przemysł i budownictwo. We wszystkich przypadkach największe zużycie zanotowano w województwie mazowieckim, z tym, że w przypadku ciężkiego oleju opałowe</w:t>
      </w:r>
      <w:r w:rsidR="00B15B55">
        <w:rPr>
          <w:rFonts w:ascii="Times New Roman" w:hAnsi="Times New Roman" w:cs="Times New Roman"/>
          <w:sz w:val="24"/>
          <w:szCs w:val="24"/>
        </w:rPr>
        <w:t>go była to wielkość znacząca (77</w:t>
      </w:r>
      <w:r w:rsidRPr="00460C1E">
        <w:rPr>
          <w:rFonts w:ascii="Times New Roman" w:hAnsi="Times New Roman" w:cs="Times New Roman"/>
          <w:sz w:val="24"/>
          <w:szCs w:val="24"/>
        </w:rPr>
        <w:t>%).</w:t>
      </w:r>
    </w:p>
    <w:p w:rsidR="00460C1E" w:rsidRPr="00460C1E" w:rsidRDefault="00460C1E" w:rsidP="00460C1E">
      <w:pPr>
        <w:spacing w:after="120" w:line="360" w:lineRule="auto"/>
        <w:jc w:val="both"/>
        <w:rPr>
          <w:rFonts w:ascii="Times New Roman" w:hAnsi="Times New Roman" w:cs="Times New Roman"/>
          <w:sz w:val="24"/>
          <w:szCs w:val="24"/>
        </w:rPr>
      </w:pPr>
    </w:p>
    <w:p w:rsidR="00460C1E" w:rsidRPr="00460C1E" w:rsidRDefault="00460C1E" w:rsidP="00460C1E">
      <w:pPr>
        <w:spacing w:after="120" w:line="360" w:lineRule="auto"/>
        <w:jc w:val="both"/>
        <w:rPr>
          <w:rFonts w:ascii="Times New Roman" w:hAnsi="Times New Roman" w:cs="Times New Roman"/>
          <w:sz w:val="24"/>
          <w:szCs w:val="24"/>
        </w:rPr>
      </w:pPr>
    </w:p>
    <w:p w:rsidR="00460C1E" w:rsidRPr="00460C1E" w:rsidRDefault="00460C1E" w:rsidP="00460C1E">
      <w:pPr>
        <w:keepNext/>
        <w:spacing w:after="120" w:line="360" w:lineRule="auto"/>
        <w:jc w:val="center"/>
        <w:rPr>
          <w:rFonts w:ascii="Times New Roman" w:hAnsi="Times New Roman" w:cs="Times New Roman"/>
          <w:b/>
          <w:sz w:val="24"/>
          <w:szCs w:val="24"/>
        </w:rPr>
      </w:pPr>
      <w:r w:rsidRPr="00460C1E">
        <w:rPr>
          <w:rFonts w:ascii="Times New Roman" w:hAnsi="Times New Roman" w:cs="Times New Roman"/>
          <w:b/>
          <w:sz w:val="24"/>
          <w:szCs w:val="24"/>
        </w:rPr>
        <w:lastRenderedPageBreak/>
        <w:t>Struktura zużycia gazu ciekłego, lekkiego i ciężkiego oleju opałowego wg województw</w:t>
      </w:r>
    </w:p>
    <w:p w:rsidR="00460C1E" w:rsidRPr="00460C1E" w:rsidRDefault="00460C1E" w:rsidP="00460C1E">
      <w:pPr>
        <w:spacing w:after="120" w:line="360" w:lineRule="auto"/>
        <w:jc w:val="both"/>
        <w:rPr>
          <w:rFonts w:ascii="Times New Roman" w:hAnsi="Times New Roman" w:cs="Times New Roman"/>
          <w:sz w:val="24"/>
          <w:szCs w:val="24"/>
        </w:rPr>
      </w:pPr>
      <w:r w:rsidRPr="00460C1E">
        <w:rPr>
          <w:noProof/>
          <w:lang w:eastAsia="pl-PL"/>
        </w:rPr>
        <w:drawing>
          <wp:inline distT="0" distB="0" distL="0" distR="0" wp14:anchorId="057E32FC" wp14:editId="5576B268">
            <wp:extent cx="5486400" cy="76771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0C1E" w:rsidRPr="00460C1E" w:rsidRDefault="00460C1E" w:rsidP="00460C1E">
      <w:pPr>
        <w:rPr>
          <w:rFonts w:ascii="Times New Roman" w:hAnsi="Times New Roman" w:cs="Times New Roman"/>
          <w:sz w:val="24"/>
          <w:szCs w:val="24"/>
        </w:rPr>
        <w:sectPr w:rsidR="00460C1E" w:rsidRPr="00460C1E" w:rsidSect="00460C1E">
          <w:headerReference w:type="even" r:id="rId16"/>
          <w:headerReference w:type="default" r:id="rId17"/>
          <w:pgSz w:w="11906" w:h="16838"/>
          <w:pgMar w:top="1417" w:right="1417" w:bottom="1417" w:left="1417" w:header="708" w:footer="708" w:gutter="0"/>
          <w:pgNumType w:start="4"/>
          <w:cols w:space="708"/>
          <w:docGrid w:linePitch="360"/>
        </w:sectPr>
      </w:pPr>
      <w:r w:rsidRPr="00460C1E">
        <w:rPr>
          <w:rFonts w:ascii="Times New Roman" w:hAnsi="Times New Roman" w:cs="Times New Roman"/>
          <w:sz w:val="24"/>
          <w:szCs w:val="24"/>
        </w:rPr>
        <w:br w:type="page"/>
      </w:r>
    </w:p>
    <w:p w:rsidR="00460C1E" w:rsidRPr="00460C1E" w:rsidRDefault="00B15B55" w:rsidP="00460C1E">
      <w:r w:rsidRPr="00B15B55">
        <w:lastRenderedPageBreak/>
        <w:drawing>
          <wp:inline distT="0" distB="0" distL="0" distR="0">
            <wp:extent cx="8892540" cy="5509037"/>
            <wp:effectExtent l="0" t="0" r="381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5509037"/>
                    </a:xfrm>
                    <a:prstGeom prst="rect">
                      <a:avLst/>
                    </a:prstGeom>
                    <a:noFill/>
                    <a:ln>
                      <a:noFill/>
                    </a:ln>
                  </pic:spPr>
                </pic:pic>
              </a:graphicData>
            </a:graphic>
          </wp:inline>
        </w:drawing>
      </w:r>
    </w:p>
    <w:p w:rsidR="00460C1E" w:rsidRPr="00460C1E" w:rsidRDefault="005A2227" w:rsidP="00460C1E">
      <w:r w:rsidRPr="005A2227">
        <w:lastRenderedPageBreak/>
        <w:drawing>
          <wp:inline distT="0" distB="0" distL="0" distR="0">
            <wp:extent cx="8892540" cy="5166945"/>
            <wp:effectExtent l="0" t="0" r="381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5166945"/>
                    </a:xfrm>
                    <a:prstGeom prst="rect">
                      <a:avLst/>
                    </a:prstGeom>
                    <a:noFill/>
                    <a:ln>
                      <a:noFill/>
                    </a:ln>
                  </pic:spPr>
                </pic:pic>
              </a:graphicData>
            </a:graphic>
          </wp:inline>
        </w:drawing>
      </w:r>
    </w:p>
    <w:p w:rsidR="00460C1E" w:rsidRPr="00460C1E" w:rsidRDefault="00460C1E" w:rsidP="00460C1E"/>
    <w:p w:rsidR="00460C1E" w:rsidRPr="00460C1E" w:rsidRDefault="005A2227" w:rsidP="00460C1E">
      <w:r w:rsidRPr="005A2227">
        <w:lastRenderedPageBreak/>
        <w:drawing>
          <wp:inline distT="0" distB="0" distL="0" distR="0">
            <wp:extent cx="8892540" cy="3760611"/>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3760611"/>
                    </a:xfrm>
                    <a:prstGeom prst="rect">
                      <a:avLst/>
                    </a:prstGeom>
                    <a:noFill/>
                    <a:ln>
                      <a:noFill/>
                    </a:ln>
                  </pic:spPr>
                </pic:pic>
              </a:graphicData>
            </a:graphic>
          </wp:inline>
        </w:drawing>
      </w:r>
    </w:p>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5A2227" w:rsidP="00460C1E">
      <w:r w:rsidRPr="005A2227">
        <w:lastRenderedPageBreak/>
        <w:drawing>
          <wp:inline distT="0" distB="0" distL="0" distR="0">
            <wp:extent cx="8892540" cy="4256978"/>
            <wp:effectExtent l="0" t="0" r="381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4256978"/>
                    </a:xfrm>
                    <a:prstGeom prst="rect">
                      <a:avLst/>
                    </a:prstGeom>
                    <a:noFill/>
                    <a:ln>
                      <a:noFill/>
                    </a:ln>
                  </pic:spPr>
                </pic:pic>
              </a:graphicData>
            </a:graphic>
          </wp:inline>
        </w:drawing>
      </w:r>
    </w:p>
    <w:p w:rsidR="00460C1E" w:rsidRPr="00460C1E" w:rsidRDefault="00460C1E" w:rsidP="00460C1E"/>
    <w:p w:rsidR="00460C1E" w:rsidRPr="00460C1E" w:rsidRDefault="00460C1E" w:rsidP="00460C1E"/>
    <w:p w:rsidR="00460C1E" w:rsidRPr="00460C1E" w:rsidRDefault="00460C1E" w:rsidP="00460C1E"/>
    <w:p w:rsidR="00460C1E" w:rsidRPr="00460C1E" w:rsidRDefault="005A2227" w:rsidP="00460C1E">
      <w:r w:rsidRPr="005A2227">
        <w:lastRenderedPageBreak/>
        <w:drawing>
          <wp:inline distT="0" distB="0" distL="0" distR="0">
            <wp:extent cx="8892540" cy="3698221"/>
            <wp:effectExtent l="0" t="0" r="381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3698221"/>
                    </a:xfrm>
                    <a:prstGeom prst="rect">
                      <a:avLst/>
                    </a:prstGeom>
                    <a:noFill/>
                    <a:ln>
                      <a:noFill/>
                    </a:ln>
                  </pic:spPr>
                </pic:pic>
              </a:graphicData>
            </a:graphic>
          </wp:inline>
        </w:drawing>
      </w:r>
    </w:p>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460C1E" w:rsidRPr="00460C1E" w:rsidRDefault="005A2227" w:rsidP="00460C1E">
      <w:r w:rsidRPr="005A2227">
        <w:lastRenderedPageBreak/>
        <w:drawing>
          <wp:inline distT="0" distB="0" distL="0" distR="0">
            <wp:extent cx="8892540" cy="4348783"/>
            <wp:effectExtent l="0" t="0" r="381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4348783"/>
                    </a:xfrm>
                    <a:prstGeom prst="rect">
                      <a:avLst/>
                    </a:prstGeom>
                    <a:noFill/>
                    <a:ln>
                      <a:noFill/>
                    </a:ln>
                  </pic:spPr>
                </pic:pic>
              </a:graphicData>
            </a:graphic>
          </wp:inline>
        </w:drawing>
      </w:r>
    </w:p>
    <w:p w:rsidR="00460C1E" w:rsidRPr="00460C1E" w:rsidRDefault="00460C1E" w:rsidP="00460C1E"/>
    <w:p w:rsidR="00460C1E" w:rsidRPr="00460C1E" w:rsidRDefault="00460C1E" w:rsidP="00460C1E"/>
    <w:p w:rsidR="00460C1E" w:rsidRPr="00460C1E" w:rsidRDefault="00460C1E" w:rsidP="00460C1E"/>
    <w:p w:rsidR="00460C1E" w:rsidRPr="00460C1E" w:rsidRDefault="00460C1E" w:rsidP="00460C1E"/>
    <w:p w:rsidR="005144EC" w:rsidRPr="005144EC" w:rsidRDefault="005A2227" w:rsidP="005144EC">
      <w:pPr>
        <w:ind w:right="-38"/>
        <w:rPr>
          <w:rFonts w:ascii="Times New Roman" w:hAnsi="Times New Roman" w:cs="Times New Roman"/>
          <w:sz w:val="24"/>
          <w:szCs w:val="24"/>
        </w:rPr>
      </w:pPr>
      <w:r w:rsidRPr="005A2227">
        <w:lastRenderedPageBreak/>
        <w:drawing>
          <wp:inline distT="0" distB="0" distL="0" distR="0">
            <wp:extent cx="8892540" cy="5542960"/>
            <wp:effectExtent l="0" t="0" r="3810" b="63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2540" cy="5542960"/>
                    </a:xfrm>
                    <a:prstGeom prst="rect">
                      <a:avLst/>
                    </a:prstGeom>
                    <a:noFill/>
                    <a:ln>
                      <a:noFill/>
                    </a:ln>
                  </pic:spPr>
                </pic:pic>
              </a:graphicData>
            </a:graphic>
          </wp:inline>
        </w:drawing>
      </w:r>
    </w:p>
    <w:p w:rsidR="005144EC" w:rsidRDefault="005144EC" w:rsidP="005144EC">
      <w:pPr>
        <w:ind w:right="-38"/>
      </w:pPr>
      <w:r w:rsidRPr="005144EC">
        <w:lastRenderedPageBreak/>
        <w:drawing>
          <wp:inline distT="0" distB="0" distL="0" distR="0">
            <wp:extent cx="7867650" cy="42100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67650" cy="4210050"/>
                    </a:xfrm>
                    <a:prstGeom prst="rect">
                      <a:avLst/>
                    </a:prstGeom>
                    <a:noFill/>
                    <a:ln>
                      <a:noFill/>
                    </a:ln>
                  </pic:spPr>
                </pic:pic>
              </a:graphicData>
            </a:graphic>
          </wp:inline>
        </w:drawing>
      </w:r>
    </w:p>
    <w:p w:rsidR="005144EC" w:rsidRDefault="005144EC" w:rsidP="005144EC">
      <w:pPr>
        <w:ind w:right="-38"/>
      </w:pPr>
    </w:p>
    <w:p w:rsidR="005144EC" w:rsidRDefault="005144EC" w:rsidP="005144EC">
      <w:pPr>
        <w:ind w:right="-38"/>
      </w:pPr>
    </w:p>
    <w:p w:rsidR="005144EC" w:rsidRDefault="005144EC" w:rsidP="005144EC">
      <w:pPr>
        <w:ind w:right="-38"/>
      </w:pPr>
      <w:r w:rsidRPr="005144EC">
        <w:lastRenderedPageBreak/>
        <w:drawing>
          <wp:inline distT="0" distB="0" distL="0" distR="0">
            <wp:extent cx="7867650" cy="42100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67650" cy="4210050"/>
                    </a:xfrm>
                    <a:prstGeom prst="rect">
                      <a:avLst/>
                    </a:prstGeom>
                    <a:noFill/>
                    <a:ln>
                      <a:noFill/>
                    </a:ln>
                  </pic:spPr>
                </pic:pic>
              </a:graphicData>
            </a:graphic>
          </wp:inline>
        </w:drawing>
      </w:r>
    </w:p>
    <w:p w:rsidR="005144EC" w:rsidRDefault="005144EC" w:rsidP="005144EC">
      <w:pPr>
        <w:ind w:right="-38"/>
      </w:pPr>
    </w:p>
    <w:p w:rsidR="005144EC" w:rsidRDefault="005144EC" w:rsidP="005144EC">
      <w:pPr>
        <w:ind w:right="-38"/>
      </w:pPr>
    </w:p>
    <w:p w:rsidR="005144EC" w:rsidRDefault="005144EC" w:rsidP="005144EC">
      <w:pPr>
        <w:ind w:right="-38"/>
      </w:pPr>
    </w:p>
    <w:p w:rsidR="005144EC" w:rsidRDefault="005144EC" w:rsidP="005144EC">
      <w:pPr>
        <w:ind w:right="-38"/>
      </w:pPr>
    </w:p>
    <w:p w:rsidR="005144EC" w:rsidRDefault="005144EC" w:rsidP="005144EC">
      <w:pPr>
        <w:ind w:right="-38"/>
      </w:pPr>
    </w:p>
    <w:p w:rsidR="005144EC" w:rsidRPr="00E059AF" w:rsidRDefault="005144EC" w:rsidP="005144EC">
      <w:pPr>
        <w:ind w:right="-38"/>
      </w:pPr>
      <w:r w:rsidRPr="005144EC">
        <w:lastRenderedPageBreak/>
        <w:drawing>
          <wp:inline distT="0" distB="0" distL="0" distR="0">
            <wp:extent cx="7867650" cy="421005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7650" cy="4210050"/>
                    </a:xfrm>
                    <a:prstGeom prst="rect">
                      <a:avLst/>
                    </a:prstGeom>
                    <a:noFill/>
                    <a:ln>
                      <a:noFill/>
                    </a:ln>
                  </pic:spPr>
                </pic:pic>
              </a:graphicData>
            </a:graphic>
          </wp:inline>
        </w:drawing>
      </w:r>
    </w:p>
    <w:p w:rsidR="00460C1E" w:rsidRPr="00F35ECE" w:rsidRDefault="00460C1E" w:rsidP="00F35ECE">
      <w:pPr>
        <w:ind w:right="-38"/>
        <w:sectPr w:rsidR="00460C1E" w:rsidRPr="00F35ECE" w:rsidSect="00F80B76">
          <w:headerReference w:type="even" r:id="rId28"/>
          <w:type w:val="continuous"/>
          <w:pgSz w:w="16838" w:h="11906" w:orient="landscape"/>
          <w:pgMar w:top="1417" w:right="1417" w:bottom="1417" w:left="1417" w:header="708" w:footer="708" w:gutter="0"/>
          <w:cols w:space="708"/>
          <w:docGrid w:linePitch="360"/>
        </w:sectPr>
      </w:pPr>
      <w:r w:rsidRPr="00460C1E">
        <w:rPr>
          <w:rFonts w:ascii="Times New Roman" w:hAnsi="Times New Roman" w:cs="Times New Roman"/>
          <w:sz w:val="24"/>
          <w:szCs w:val="24"/>
        </w:rPr>
        <w:br w:type="page"/>
      </w:r>
    </w:p>
    <w:p w:rsidR="00460C1E" w:rsidRPr="00460C1E" w:rsidRDefault="00460C1E" w:rsidP="00460C1E">
      <w:pPr>
        <w:spacing w:after="0" w:line="360" w:lineRule="auto"/>
        <w:rPr>
          <w:rFonts w:ascii="Times New Roman" w:eastAsia="Times New Roman" w:hAnsi="Times New Roman" w:cs="Times New Roman"/>
          <w:b/>
          <w:sz w:val="24"/>
          <w:szCs w:val="24"/>
          <w:lang w:eastAsia="pl-PL"/>
        </w:rPr>
      </w:pPr>
      <w:r w:rsidRPr="00460C1E">
        <w:rPr>
          <w:rFonts w:ascii="Times New Roman" w:eastAsia="Times New Roman" w:hAnsi="Times New Roman" w:cs="Times New Roman"/>
          <w:b/>
          <w:sz w:val="24"/>
          <w:szCs w:val="24"/>
          <w:lang w:eastAsia="pl-PL"/>
        </w:rPr>
        <w:lastRenderedPageBreak/>
        <w:t>Bibliografia:</w:t>
      </w:r>
    </w:p>
    <w:p w:rsidR="00460C1E" w:rsidRPr="00460C1E" w:rsidRDefault="00460C1E" w:rsidP="00460C1E">
      <w:pPr>
        <w:spacing w:after="0" w:line="360" w:lineRule="auto"/>
        <w:rPr>
          <w:rFonts w:ascii="Times New Roman" w:eastAsia="Times New Roman" w:hAnsi="Times New Roman" w:cs="Times New Roman"/>
          <w:b/>
          <w:sz w:val="24"/>
          <w:szCs w:val="24"/>
          <w:lang w:eastAsia="pl-PL"/>
        </w:rPr>
      </w:pPr>
    </w:p>
    <w:p w:rsidR="00460C1E" w:rsidRPr="00460C1E" w:rsidRDefault="00460C1E" w:rsidP="005144EC">
      <w:pPr>
        <w:numPr>
          <w:ilvl w:val="0"/>
          <w:numId w:val="3"/>
        </w:numPr>
        <w:spacing w:after="0" w:line="360" w:lineRule="auto"/>
        <w:ind w:left="709" w:hanging="709"/>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Zasady metodyczne sprawozdawczości statystycznej z zakresu gospodarki paliwami i energią oraz definicje stosowanych pojęć</w:t>
      </w:r>
    </w:p>
    <w:p w:rsidR="00460C1E" w:rsidRPr="00460C1E" w:rsidRDefault="00460C1E" w:rsidP="005144EC">
      <w:pPr>
        <w:tabs>
          <w:tab w:val="num" w:pos="709"/>
        </w:tabs>
        <w:spacing w:after="0" w:line="360" w:lineRule="auto"/>
        <w:ind w:left="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i/>
          <w:sz w:val="24"/>
          <w:szCs w:val="24"/>
          <w:lang w:eastAsia="pl-PL"/>
        </w:rPr>
        <w:t>Zeszyty metodyczne i klasyfikacje GUS Warszawa, 2006 r.</w:t>
      </w:r>
    </w:p>
    <w:p w:rsidR="00460C1E" w:rsidRPr="00460C1E" w:rsidRDefault="00460C1E" w:rsidP="005144EC">
      <w:pPr>
        <w:numPr>
          <w:ilvl w:val="0"/>
          <w:numId w:val="3"/>
        </w:numPr>
        <w:spacing w:after="0" w:line="360" w:lineRule="auto"/>
        <w:ind w:left="709" w:hanging="709"/>
        <w:jc w:val="both"/>
        <w:rPr>
          <w:rFonts w:ascii="Times New Roman" w:eastAsia="Times New Roman" w:hAnsi="Times New Roman" w:cs="Times New Roman"/>
          <w:sz w:val="24"/>
          <w:szCs w:val="24"/>
          <w:lang w:eastAsia="pl-PL"/>
        </w:rPr>
      </w:pPr>
      <w:r w:rsidRPr="00460C1E">
        <w:rPr>
          <w:rFonts w:ascii="Times New Roman" w:eastAsia="Times New Roman" w:hAnsi="Times New Roman" w:cs="Times New Roman"/>
          <w:sz w:val="24"/>
          <w:szCs w:val="24"/>
          <w:lang w:eastAsia="pl-PL"/>
        </w:rPr>
        <w:t>Metodologia sporządzania regionalnych bilansów paliw i energii dla wskazanych paliw i nośników energii</w:t>
      </w:r>
    </w:p>
    <w:p w:rsidR="00460C1E" w:rsidRPr="00460C1E" w:rsidRDefault="00460C1E" w:rsidP="005144EC">
      <w:pPr>
        <w:tabs>
          <w:tab w:val="num" w:pos="709"/>
        </w:tabs>
        <w:spacing w:after="0" w:line="360" w:lineRule="auto"/>
        <w:ind w:left="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i/>
          <w:sz w:val="24"/>
          <w:szCs w:val="24"/>
          <w:lang w:eastAsia="pl-PL"/>
        </w:rPr>
        <w:t>Opracowanie: ARE S.A. Warszawa, grudzień 2000 r.</w:t>
      </w:r>
    </w:p>
    <w:p w:rsidR="00460C1E" w:rsidRPr="00460C1E" w:rsidRDefault="00460C1E" w:rsidP="005144EC">
      <w:pPr>
        <w:numPr>
          <w:ilvl w:val="0"/>
          <w:numId w:val="3"/>
        </w:numPr>
        <w:spacing w:after="0" w:line="360" w:lineRule="auto"/>
        <w:ind w:left="709" w:hanging="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sz w:val="24"/>
          <w:szCs w:val="24"/>
          <w:lang w:eastAsia="pl-PL"/>
        </w:rPr>
        <w:t xml:space="preserve">M. </w:t>
      </w:r>
      <w:proofErr w:type="spellStart"/>
      <w:r w:rsidRPr="00460C1E">
        <w:rPr>
          <w:rFonts w:ascii="Times New Roman" w:eastAsia="Times New Roman" w:hAnsi="Times New Roman" w:cs="Times New Roman"/>
          <w:sz w:val="24"/>
          <w:szCs w:val="24"/>
          <w:lang w:eastAsia="pl-PL"/>
        </w:rPr>
        <w:t>Kumanowski</w:t>
      </w:r>
      <w:proofErr w:type="spellEnd"/>
      <w:r w:rsidRPr="00460C1E">
        <w:rPr>
          <w:rFonts w:ascii="Times New Roman" w:eastAsia="Times New Roman" w:hAnsi="Times New Roman" w:cs="Times New Roman"/>
          <w:sz w:val="24"/>
          <w:szCs w:val="24"/>
          <w:lang w:eastAsia="pl-PL"/>
        </w:rPr>
        <w:t xml:space="preserve">, E. </w:t>
      </w:r>
      <w:proofErr w:type="spellStart"/>
      <w:r w:rsidRPr="00460C1E">
        <w:rPr>
          <w:rFonts w:ascii="Times New Roman" w:eastAsia="Times New Roman" w:hAnsi="Times New Roman" w:cs="Times New Roman"/>
          <w:sz w:val="24"/>
          <w:szCs w:val="24"/>
          <w:lang w:eastAsia="pl-PL"/>
        </w:rPr>
        <w:t>Trzaskoma</w:t>
      </w:r>
      <w:proofErr w:type="spellEnd"/>
      <w:r w:rsidRPr="00460C1E">
        <w:rPr>
          <w:rFonts w:ascii="Times New Roman" w:eastAsia="Times New Roman" w:hAnsi="Times New Roman" w:cs="Times New Roman"/>
          <w:sz w:val="24"/>
          <w:szCs w:val="24"/>
          <w:lang w:eastAsia="pl-PL"/>
        </w:rPr>
        <w:t xml:space="preserve"> – Zasady metodyczne prognozowania zużycia energii w gospodarstwach domowych</w:t>
      </w:r>
    </w:p>
    <w:p w:rsidR="00460C1E" w:rsidRPr="00460C1E" w:rsidRDefault="00460C1E" w:rsidP="005144EC">
      <w:pPr>
        <w:tabs>
          <w:tab w:val="num" w:pos="709"/>
        </w:tabs>
        <w:spacing w:after="0" w:line="360" w:lineRule="auto"/>
        <w:ind w:left="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i/>
          <w:sz w:val="24"/>
          <w:szCs w:val="24"/>
          <w:lang w:eastAsia="pl-PL"/>
        </w:rPr>
        <w:t>Opracowanie: ARE S.A. Warszawa, 2000 r.</w:t>
      </w:r>
    </w:p>
    <w:p w:rsidR="00460C1E" w:rsidRPr="00460C1E" w:rsidRDefault="00460C1E" w:rsidP="005144EC">
      <w:pPr>
        <w:numPr>
          <w:ilvl w:val="0"/>
          <w:numId w:val="3"/>
        </w:numPr>
        <w:spacing w:after="0" w:line="360" w:lineRule="auto"/>
        <w:ind w:left="709" w:hanging="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sz w:val="24"/>
          <w:szCs w:val="24"/>
          <w:lang w:eastAsia="pl-PL"/>
        </w:rPr>
        <w:t xml:space="preserve">Zużycie energii </w:t>
      </w:r>
      <w:r w:rsidR="007901B3">
        <w:rPr>
          <w:rFonts w:ascii="Times New Roman" w:eastAsia="Times New Roman" w:hAnsi="Times New Roman" w:cs="Times New Roman"/>
          <w:sz w:val="24"/>
          <w:szCs w:val="24"/>
          <w:lang w:eastAsia="pl-PL"/>
        </w:rPr>
        <w:t>w gospodarstwach domowych w 2012</w:t>
      </w:r>
      <w:r w:rsidRPr="00460C1E">
        <w:rPr>
          <w:rFonts w:ascii="Times New Roman" w:eastAsia="Times New Roman" w:hAnsi="Times New Roman" w:cs="Times New Roman"/>
          <w:sz w:val="24"/>
          <w:szCs w:val="24"/>
          <w:lang w:eastAsia="pl-PL"/>
        </w:rPr>
        <w:t xml:space="preserve"> r.</w:t>
      </w:r>
    </w:p>
    <w:p w:rsidR="00460C1E" w:rsidRDefault="00460C1E" w:rsidP="005144EC">
      <w:pPr>
        <w:spacing w:after="0" w:line="360" w:lineRule="auto"/>
        <w:ind w:left="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i/>
          <w:sz w:val="24"/>
          <w:szCs w:val="24"/>
          <w:lang w:eastAsia="pl-PL"/>
        </w:rPr>
        <w:t>Opracowanie: GUS Warszawa, 2014 r.</w:t>
      </w:r>
    </w:p>
    <w:p w:rsidR="007901B3" w:rsidRPr="00460C1E" w:rsidRDefault="007901B3" w:rsidP="005144EC">
      <w:pPr>
        <w:numPr>
          <w:ilvl w:val="0"/>
          <w:numId w:val="3"/>
        </w:numPr>
        <w:spacing w:after="0" w:line="360" w:lineRule="auto"/>
        <w:ind w:left="709" w:hanging="709"/>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Gospodarka paliwowo-energetyczna w latach 2014 i 2015</w:t>
      </w:r>
    </w:p>
    <w:p w:rsidR="007901B3" w:rsidRDefault="007901B3" w:rsidP="005144EC">
      <w:pPr>
        <w:spacing w:after="0" w:line="360" w:lineRule="auto"/>
        <w:ind w:left="709"/>
        <w:jc w:val="both"/>
        <w:rPr>
          <w:rFonts w:ascii="Times New Roman" w:eastAsia="Times New Roman" w:hAnsi="Times New Roman" w:cs="Times New Roman"/>
          <w:i/>
          <w:sz w:val="24"/>
          <w:szCs w:val="24"/>
          <w:lang w:eastAsia="pl-PL"/>
        </w:rPr>
      </w:pPr>
      <w:r w:rsidRPr="00460C1E">
        <w:rPr>
          <w:rFonts w:ascii="Times New Roman" w:eastAsia="Times New Roman" w:hAnsi="Times New Roman" w:cs="Times New Roman"/>
          <w:i/>
          <w:sz w:val="24"/>
          <w:szCs w:val="24"/>
          <w:lang w:eastAsia="pl-PL"/>
        </w:rPr>
        <w:t>Opracowanie: GUS Wars</w:t>
      </w:r>
      <w:r>
        <w:rPr>
          <w:rFonts w:ascii="Times New Roman" w:eastAsia="Times New Roman" w:hAnsi="Times New Roman" w:cs="Times New Roman"/>
          <w:i/>
          <w:sz w:val="24"/>
          <w:szCs w:val="24"/>
          <w:lang w:eastAsia="pl-PL"/>
        </w:rPr>
        <w:t>zawa, 2016</w:t>
      </w:r>
      <w:r w:rsidRPr="00460C1E">
        <w:rPr>
          <w:rFonts w:ascii="Times New Roman" w:eastAsia="Times New Roman" w:hAnsi="Times New Roman" w:cs="Times New Roman"/>
          <w:i/>
          <w:sz w:val="24"/>
          <w:szCs w:val="24"/>
          <w:lang w:eastAsia="pl-PL"/>
        </w:rPr>
        <w:t xml:space="preserve"> r.</w:t>
      </w:r>
    </w:p>
    <w:p w:rsidR="007901B3" w:rsidRPr="00460C1E" w:rsidRDefault="007901B3" w:rsidP="00460C1E">
      <w:pPr>
        <w:spacing w:after="0" w:line="360" w:lineRule="auto"/>
        <w:rPr>
          <w:rFonts w:ascii="Times New Roman" w:eastAsia="Times New Roman" w:hAnsi="Times New Roman" w:cs="Times New Roman"/>
          <w:i/>
          <w:sz w:val="24"/>
          <w:szCs w:val="24"/>
          <w:lang w:eastAsia="pl-PL"/>
        </w:rPr>
      </w:pPr>
    </w:p>
    <w:p w:rsidR="00460C1E" w:rsidRPr="00460C1E" w:rsidRDefault="00460C1E" w:rsidP="00460C1E">
      <w:pPr>
        <w:spacing w:line="360" w:lineRule="auto"/>
        <w:rPr>
          <w:rFonts w:ascii="Times New Roman" w:hAnsi="Times New Roman" w:cs="Times New Roman"/>
          <w:sz w:val="24"/>
          <w:szCs w:val="24"/>
        </w:rPr>
      </w:pPr>
    </w:p>
    <w:p w:rsidR="00ED4419" w:rsidRPr="00460C1E" w:rsidRDefault="00686BBF" w:rsidP="00460C1E">
      <w:pPr>
        <w:spacing w:after="0" w:line="240" w:lineRule="auto"/>
        <w:rPr>
          <w:rFonts w:ascii="Times New Roman" w:eastAsia="Times New Roman" w:hAnsi="Times New Roman" w:cs="Times New Roman"/>
          <w:sz w:val="24"/>
          <w:szCs w:val="24"/>
          <w:lang w:eastAsia="pl-PL"/>
        </w:rPr>
      </w:pPr>
    </w:p>
    <w:sectPr w:rsidR="00ED4419" w:rsidRPr="00460C1E" w:rsidSect="00F35ECE">
      <w:headerReference w:type="even" r:id="rId29"/>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BF" w:rsidRDefault="00686BBF" w:rsidP="00460C1E">
      <w:pPr>
        <w:spacing w:after="0" w:line="240" w:lineRule="auto"/>
      </w:pPr>
      <w:r>
        <w:separator/>
      </w:r>
    </w:p>
  </w:endnote>
  <w:endnote w:type="continuationSeparator" w:id="0">
    <w:p w:rsidR="00686BBF" w:rsidRDefault="00686BBF" w:rsidP="0046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BF" w:rsidRDefault="00686BBF" w:rsidP="00460C1E">
      <w:pPr>
        <w:spacing w:after="0" w:line="240" w:lineRule="auto"/>
      </w:pPr>
      <w:r>
        <w:separator/>
      </w:r>
    </w:p>
  </w:footnote>
  <w:footnote w:type="continuationSeparator" w:id="0">
    <w:p w:rsidR="00686BBF" w:rsidRDefault="00686BBF" w:rsidP="00460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1E" w:rsidRDefault="00460C1E">
    <w:pPr>
      <w:pStyle w:val="Nagwek"/>
    </w:pPr>
    <w:r>
      <w:fldChar w:fldCharType="begin"/>
    </w:r>
    <w:r>
      <w:instrText>PAGE   \* MERGEFORMAT</w:instrText>
    </w:r>
    <w:r>
      <w:fldChar w:fldCharType="separate"/>
    </w:r>
    <w:r>
      <w:rPr>
        <w:noProof/>
      </w:rPr>
      <w:t>2</w:t>
    </w:r>
    <w:r>
      <w:fldChar w:fldCharType="end"/>
    </w:r>
  </w:p>
  <w:p w:rsidR="00460C1E" w:rsidRDefault="00460C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1E" w:rsidRDefault="00460C1E">
    <w:pPr>
      <w:pStyle w:val="Nagwek"/>
      <w:jc w:val="right"/>
    </w:pPr>
    <w:r>
      <w:fldChar w:fldCharType="begin"/>
    </w:r>
    <w:r>
      <w:instrText>PAGE   \* MERGEFORMAT</w:instrText>
    </w:r>
    <w:r>
      <w:fldChar w:fldCharType="separate"/>
    </w:r>
    <w:r>
      <w:rPr>
        <w:noProof/>
      </w:rPr>
      <w:t>3</w:t>
    </w:r>
    <w:r>
      <w:fldChar w:fldCharType="end"/>
    </w:r>
  </w:p>
  <w:p w:rsidR="00460C1E" w:rsidRDefault="00460C1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1E" w:rsidRDefault="00460C1E">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1E" w:rsidRDefault="00460C1E">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53556"/>
      <w:docPartObj>
        <w:docPartGallery w:val="Page Numbers (Top of Page)"/>
        <w:docPartUnique/>
      </w:docPartObj>
    </w:sdtPr>
    <w:sdtEndPr/>
    <w:sdtContent>
      <w:p w:rsidR="00460C1E" w:rsidRDefault="00460C1E">
        <w:pPr>
          <w:pStyle w:val="Nagwek"/>
        </w:pPr>
        <w:r>
          <w:fldChar w:fldCharType="begin"/>
        </w:r>
        <w:r>
          <w:instrText>PAGE   \* MERGEFORMAT</w:instrText>
        </w:r>
        <w:r>
          <w:fldChar w:fldCharType="separate"/>
        </w:r>
        <w:r w:rsidR="00D00730">
          <w:rPr>
            <w:noProof/>
          </w:rPr>
          <w:t>10</w:t>
        </w:r>
        <w:r>
          <w:fldChar w:fldCharType="end"/>
        </w:r>
      </w:p>
    </w:sdtContent>
  </w:sdt>
  <w:p w:rsidR="00460C1E" w:rsidRDefault="00460C1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829112"/>
      <w:docPartObj>
        <w:docPartGallery w:val="Page Numbers (Top of Page)"/>
        <w:docPartUnique/>
      </w:docPartObj>
    </w:sdtPr>
    <w:sdtEndPr/>
    <w:sdtContent>
      <w:p w:rsidR="00460C1E" w:rsidRDefault="00460C1E">
        <w:pPr>
          <w:pStyle w:val="Nagwek"/>
          <w:jc w:val="right"/>
        </w:pPr>
        <w:r>
          <w:fldChar w:fldCharType="begin"/>
        </w:r>
        <w:r>
          <w:instrText>PAGE   \* MERGEFORMAT</w:instrText>
        </w:r>
        <w:r>
          <w:fldChar w:fldCharType="separate"/>
        </w:r>
        <w:r w:rsidR="00D00730">
          <w:rPr>
            <w:noProof/>
          </w:rPr>
          <w:t>17</w:t>
        </w:r>
        <w:r>
          <w:fldChar w:fldCharType="end"/>
        </w:r>
      </w:p>
    </w:sdtContent>
  </w:sdt>
  <w:p w:rsidR="00460C1E" w:rsidRDefault="00460C1E">
    <w:pPr>
      <w:pStyle w:val="Nagwek"/>
    </w:pPr>
  </w:p>
  <w:p w:rsidR="00460C1E" w:rsidRDefault="00460C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425349"/>
      <w:docPartObj>
        <w:docPartGallery w:val="Page Numbers (Top of Page)"/>
        <w:docPartUnique/>
      </w:docPartObj>
    </w:sdtPr>
    <w:sdtEndPr/>
    <w:sdtContent>
      <w:p w:rsidR="00460C1E" w:rsidRDefault="00460C1E">
        <w:pPr>
          <w:pStyle w:val="Nagwek"/>
        </w:pPr>
        <w:r>
          <w:fldChar w:fldCharType="begin"/>
        </w:r>
        <w:r>
          <w:instrText>PAGE   \* MERGEFORMAT</w:instrText>
        </w:r>
        <w:r>
          <w:fldChar w:fldCharType="separate"/>
        </w:r>
        <w:r w:rsidR="00D00730">
          <w:rPr>
            <w:noProof/>
          </w:rPr>
          <w:t>18</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7" w:rsidRDefault="00FE41F9">
    <w:pPr>
      <w:pStyle w:val="Nagwek"/>
    </w:pPr>
    <w:r>
      <w:fldChar w:fldCharType="begin"/>
    </w:r>
    <w:r>
      <w:instrText>PAGE   \* MERGEFORMAT</w:instrText>
    </w:r>
    <w:r>
      <w:fldChar w:fldCharType="separate"/>
    </w:r>
    <w:r w:rsidR="005A2227">
      <w:rPr>
        <w:noProof/>
      </w:rPr>
      <w:t>22</w:t>
    </w:r>
    <w:r>
      <w:fldChar w:fldCharType="end"/>
    </w:r>
  </w:p>
  <w:p w:rsidR="009A7FA7" w:rsidRDefault="00686BBF">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035773"/>
      <w:docPartObj>
        <w:docPartGallery w:val="Page Numbers (Top of Page)"/>
        <w:docPartUnique/>
      </w:docPartObj>
    </w:sdtPr>
    <w:sdtEndPr/>
    <w:sdtContent>
      <w:p w:rsidR="00460C1E" w:rsidRDefault="00460C1E">
        <w:pPr>
          <w:pStyle w:val="Nagwek"/>
          <w:jc w:val="right"/>
        </w:pPr>
        <w:r>
          <w:fldChar w:fldCharType="begin"/>
        </w:r>
        <w:r>
          <w:instrText>PAGE   \* MERGEFORMAT</w:instrText>
        </w:r>
        <w:r>
          <w:fldChar w:fldCharType="separate"/>
        </w:r>
        <w:r w:rsidR="005A2227">
          <w:rPr>
            <w:noProof/>
          </w:rPr>
          <w:t>23</w:t>
        </w:r>
        <w:r>
          <w:fldChar w:fldCharType="end"/>
        </w:r>
      </w:p>
    </w:sdtContent>
  </w:sdt>
  <w:p w:rsidR="00460C1E" w:rsidRDefault="00460C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F6B"/>
    <w:multiLevelType w:val="hybridMultilevel"/>
    <w:tmpl w:val="EB7450F4"/>
    <w:lvl w:ilvl="0" w:tplc="5238985C">
      <w:start w:val="1"/>
      <w:numFmt w:val="decimal"/>
      <w:lvlText w:val="%1."/>
      <w:lvlJc w:val="left"/>
      <w:pPr>
        <w:tabs>
          <w:tab w:val="num" w:pos="1440"/>
        </w:tabs>
        <w:ind w:left="14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380254FE"/>
    <w:multiLevelType w:val="hybridMultilevel"/>
    <w:tmpl w:val="B8228D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CDE1DE8"/>
    <w:multiLevelType w:val="hybridMultilevel"/>
    <w:tmpl w:val="16EA70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1E"/>
    <w:rsid w:val="00133FDE"/>
    <w:rsid w:val="00460C1E"/>
    <w:rsid w:val="00466D5B"/>
    <w:rsid w:val="005144EC"/>
    <w:rsid w:val="00573862"/>
    <w:rsid w:val="005A2227"/>
    <w:rsid w:val="00686BBF"/>
    <w:rsid w:val="007901B3"/>
    <w:rsid w:val="007A0BBD"/>
    <w:rsid w:val="00937325"/>
    <w:rsid w:val="00993A65"/>
    <w:rsid w:val="009E189A"/>
    <w:rsid w:val="00A308EE"/>
    <w:rsid w:val="00B15B55"/>
    <w:rsid w:val="00BA010F"/>
    <w:rsid w:val="00D00730"/>
    <w:rsid w:val="00D74554"/>
    <w:rsid w:val="00DC2FA7"/>
    <w:rsid w:val="00EC3E91"/>
    <w:rsid w:val="00F35ECE"/>
    <w:rsid w:val="00FE4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3E3B3-F35A-4FA6-9E62-686D3DE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0C1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60C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60C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C1E"/>
  </w:style>
  <w:style w:type="paragraph" w:styleId="Tekstdymka">
    <w:name w:val="Balloon Text"/>
    <w:basedOn w:val="Normalny"/>
    <w:link w:val="TekstdymkaZnak"/>
    <w:uiPriority w:val="99"/>
    <w:semiHidden/>
    <w:unhideWhenUsed/>
    <w:rsid w:val="00790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header" Target="header6.xml"/><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e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image" Target="media/image6.emf"/><Relationship Id="rId28" Type="http://schemas.openxmlformats.org/officeDocument/2006/relationships/header" Target="header7.xml"/><Relationship Id="rId10" Type="http://schemas.openxmlformats.org/officeDocument/2006/relationships/header" Target="header4.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hart" Target="charts/chart4.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Arkusz_programu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sektor energii</c:v>
                </c:pt>
              </c:strCache>
            </c:strRef>
          </c:tx>
          <c:spPr>
            <a:solidFill>
              <a:schemeClr val="accent4">
                <a:lumMod val="5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0</c:formatCode>
                <c:ptCount val="16"/>
                <c:pt idx="0">
                  <c:v>1195.1890363445543</c:v>
                </c:pt>
                <c:pt idx="1">
                  <c:v>947.04766959690664</c:v>
                </c:pt>
                <c:pt idx="2">
                  <c:v>615.71172667267069</c:v>
                </c:pt>
                <c:pt idx="3">
                  <c:v>89.616169407549265</c:v>
                </c:pt>
                <c:pt idx="4">
                  <c:v>1083.8580142916624</c:v>
                </c:pt>
                <c:pt idx="5">
                  <c:v>3065.2377582316553</c:v>
                </c:pt>
                <c:pt idx="6">
                  <c:v>9709.1680838917619</c:v>
                </c:pt>
                <c:pt idx="7">
                  <c:v>3111.8318513296554</c:v>
                </c:pt>
                <c:pt idx="8">
                  <c:v>606.69144043604501</c:v>
                </c:pt>
                <c:pt idx="9">
                  <c:v>183.67808974411409</c:v>
                </c:pt>
                <c:pt idx="10">
                  <c:v>1261.3255208576479</c:v>
                </c:pt>
                <c:pt idx="11">
                  <c:v>13032.502727140078</c:v>
                </c:pt>
                <c:pt idx="12">
                  <c:v>3374.917029164033</c:v>
                </c:pt>
                <c:pt idx="13">
                  <c:v>452.4004106077075</c:v>
                </c:pt>
                <c:pt idx="14">
                  <c:v>823.58015774887645</c:v>
                </c:pt>
                <c:pt idx="15">
                  <c:v>2885.1188145350802</c:v>
                </c:pt>
              </c:numCache>
            </c:numRef>
          </c:val>
        </c:ser>
        <c:ser>
          <c:idx val="1"/>
          <c:order val="1"/>
          <c:tx>
            <c:strRef>
              <c:f>Arkusz1!$C$1</c:f>
              <c:strCache>
                <c:ptCount val="1"/>
                <c:pt idx="0">
                  <c:v>przemysł i budownictwo</c:v>
                </c:pt>
              </c:strCache>
            </c:strRef>
          </c:tx>
          <c:spPr>
            <a:solidFill>
              <a:schemeClr val="accent5"/>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0</c:formatCode>
                <c:ptCount val="16"/>
                <c:pt idx="0">
                  <c:v>684.12067579357949</c:v>
                </c:pt>
                <c:pt idx="1">
                  <c:v>1008.0992402122356</c:v>
                </c:pt>
                <c:pt idx="2">
                  <c:v>600.90109396986441</c:v>
                </c:pt>
                <c:pt idx="3">
                  <c:v>13.917079309994099</c:v>
                </c:pt>
                <c:pt idx="4">
                  <c:v>242.08682060224797</c:v>
                </c:pt>
                <c:pt idx="5">
                  <c:v>1262.7441316120025</c:v>
                </c:pt>
                <c:pt idx="6">
                  <c:v>495.89559476798303</c:v>
                </c:pt>
                <c:pt idx="7">
                  <c:v>5685.905778529559</c:v>
                </c:pt>
                <c:pt idx="8">
                  <c:v>90.622897827920994</c:v>
                </c:pt>
                <c:pt idx="9">
                  <c:v>112.26546722418922</c:v>
                </c:pt>
                <c:pt idx="10">
                  <c:v>286.86047113391118</c:v>
                </c:pt>
                <c:pt idx="11">
                  <c:v>6321.4023159483859</c:v>
                </c:pt>
                <c:pt idx="12">
                  <c:v>254.14625928235353</c:v>
                </c:pt>
                <c:pt idx="13">
                  <c:v>100.60986156722906</c:v>
                </c:pt>
                <c:pt idx="14">
                  <c:v>245.24511800358107</c:v>
                </c:pt>
                <c:pt idx="15">
                  <c:v>409.0148942149653</c:v>
                </c:pt>
              </c:numCache>
            </c:numRef>
          </c:val>
        </c:ser>
        <c:ser>
          <c:idx val="2"/>
          <c:order val="2"/>
          <c:tx>
            <c:strRef>
              <c:f>Arkusz1!$D$1</c:f>
              <c:strCache>
                <c:ptCount val="1"/>
                <c:pt idx="0">
                  <c:v>transport</c:v>
                </c:pt>
              </c:strCache>
            </c:strRef>
          </c:tx>
          <c:spPr>
            <a:solidFill>
              <a:schemeClr val="accent4">
                <a:alpha val="7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0</c:formatCode>
                <c:ptCount val="16"/>
                <c:pt idx="0">
                  <c:v>0.47879211362542129</c:v>
                </c:pt>
                <c:pt idx="1">
                  <c:v>0.61168642272508422</c:v>
                </c:pt>
                <c:pt idx="2">
                  <c:v>0.31091472315840157</c:v>
                </c:pt>
                <c:pt idx="3">
                  <c:v>1.7758571304766491</c:v>
                </c:pt>
                <c:pt idx="4">
                  <c:v>1.4285103225806453</c:v>
                </c:pt>
                <c:pt idx="5">
                  <c:v>0.50508117477130476</c:v>
                </c:pt>
                <c:pt idx="6">
                  <c:v>10.638582744342802</c:v>
                </c:pt>
                <c:pt idx="7">
                  <c:v>6.6240154068367835E-2</c:v>
                </c:pt>
                <c:pt idx="8">
                  <c:v>0.29435468464130959</c:v>
                </c:pt>
                <c:pt idx="9">
                  <c:v>0.21134749157438612</c:v>
                </c:pt>
                <c:pt idx="10">
                  <c:v>0.58767436687530095</c:v>
                </c:pt>
                <c:pt idx="11">
                  <c:v>1.1335346364949446</c:v>
                </c:pt>
                <c:pt idx="12">
                  <c:v>0.6162404333172844</c:v>
                </c:pt>
                <c:pt idx="13">
                  <c:v>0.66260854116514212</c:v>
                </c:pt>
                <c:pt idx="14">
                  <c:v>0.85987999999999998</c:v>
                </c:pt>
                <c:pt idx="15">
                  <c:v>1.3661950601829564</c:v>
                </c:pt>
              </c:numCache>
            </c:numRef>
          </c:val>
        </c:ser>
        <c:ser>
          <c:idx val="3"/>
          <c:order val="3"/>
          <c:tx>
            <c:strRef>
              <c:f>Arkusz1!$E$1</c:f>
              <c:strCache>
                <c:ptCount val="1"/>
                <c:pt idx="0">
                  <c:v>drobni odbiorcy</c:v>
                </c:pt>
              </c:strCache>
            </c:strRef>
          </c:tx>
          <c:spPr>
            <a:solidFill>
              <a:srgbClr val="00B050"/>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Arkusz1!$E$2:$E$17</c:f>
              <c:numCache>
                <c:formatCode>0</c:formatCode>
                <c:ptCount val="16"/>
                <c:pt idx="0">
                  <c:v>930</c:v>
                </c:pt>
                <c:pt idx="1">
                  <c:v>711</c:v>
                </c:pt>
                <c:pt idx="2">
                  <c:v>830</c:v>
                </c:pt>
                <c:pt idx="3">
                  <c:v>243</c:v>
                </c:pt>
                <c:pt idx="4">
                  <c:v>975</c:v>
                </c:pt>
                <c:pt idx="5">
                  <c:v>1023</c:v>
                </c:pt>
                <c:pt idx="6">
                  <c:v>1640</c:v>
                </c:pt>
                <c:pt idx="7">
                  <c:v>358</c:v>
                </c:pt>
                <c:pt idx="8">
                  <c:v>659</c:v>
                </c:pt>
                <c:pt idx="9">
                  <c:v>368</c:v>
                </c:pt>
                <c:pt idx="10">
                  <c:v>502</c:v>
                </c:pt>
                <c:pt idx="11">
                  <c:v>1530</c:v>
                </c:pt>
                <c:pt idx="12">
                  <c:v>435</c:v>
                </c:pt>
                <c:pt idx="13">
                  <c:v>371</c:v>
                </c:pt>
                <c:pt idx="14">
                  <c:v>1084</c:v>
                </c:pt>
                <c:pt idx="15">
                  <c:v>351</c:v>
                </c:pt>
              </c:numCache>
            </c:numRef>
          </c:val>
        </c:ser>
        <c:dLbls>
          <c:showLegendKey val="0"/>
          <c:showVal val="0"/>
          <c:showCatName val="0"/>
          <c:showSerName val="0"/>
          <c:showPercent val="0"/>
          <c:showBubbleSize val="0"/>
        </c:dLbls>
        <c:gapWidth val="50"/>
        <c:overlap val="100"/>
        <c:axId val="372579616"/>
        <c:axId val="372581184"/>
      </c:barChart>
      <c:catAx>
        <c:axId val="37257961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581184"/>
        <c:crosses val="autoZero"/>
        <c:auto val="1"/>
        <c:lblAlgn val="ctr"/>
        <c:lblOffset val="100"/>
        <c:noMultiLvlLbl val="0"/>
      </c:catAx>
      <c:valAx>
        <c:axId val="372581184"/>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57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Arkusz1!$B$1</c:f>
              <c:strCache>
                <c:ptCount val="1"/>
                <c:pt idx="0">
                  <c:v>sektor energii</c:v>
                </c:pt>
              </c:strCache>
            </c:strRef>
          </c:tx>
          <c:spPr>
            <a:solidFill>
              <a:schemeClr val="accent4">
                <a:lumMod val="5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0</c:formatCode>
                <c:ptCount val="16"/>
                <c:pt idx="0">
                  <c:v>2449.6725439987595</c:v>
                </c:pt>
                <c:pt idx="1">
                  <c:v>647.62246601050128</c:v>
                </c:pt>
                <c:pt idx="2" formatCode="General">
                  <c:v>8209.262555136278</c:v>
                </c:pt>
                <c:pt idx="3" formatCode="General">
                  <c:v>16901.552639964248</c:v>
                </c:pt>
                <c:pt idx="4">
                  <c:v>702.69428875121309</c:v>
                </c:pt>
                <c:pt idx="5">
                  <c:v>1331.0404228397003</c:v>
                </c:pt>
                <c:pt idx="6">
                  <c:v>7000.699987334222</c:v>
                </c:pt>
                <c:pt idx="7">
                  <c:v>773.4261347459875</c:v>
                </c:pt>
                <c:pt idx="8">
                  <c:v>11905.222368138489</c:v>
                </c:pt>
                <c:pt idx="9" formatCode="General">
                  <c:v>210.96280503378301</c:v>
                </c:pt>
                <c:pt idx="10" formatCode="General">
                  <c:v>1779.4743980702326</c:v>
                </c:pt>
                <c:pt idx="11" formatCode="General">
                  <c:v>6645.1532637944674</c:v>
                </c:pt>
                <c:pt idx="12" formatCode="General">
                  <c:v>127.24505872145004</c:v>
                </c:pt>
                <c:pt idx="13" formatCode="General">
                  <c:v>297.15322796582205</c:v>
                </c:pt>
                <c:pt idx="14" formatCode="General">
                  <c:v>1108.6757829960184</c:v>
                </c:pt>
                <c:pt idx="15" formatCode="General">
                  <c:v>335.68855649883051</c:v>
                </c:pt>
              </c:numCache>
            </c:numRef>
          </c:val>
        </c:ser>
        <c:ser>
          <c:idx val="1"/>
          <c:order val="1"/>
          <c:tx>
            <c:strRef>
              <c:f>Arkusz1!$C$1</c:f>
              <c:strCache>
                <c:ptCount val="1"/>
                <c:pt idx="0">
                  <c:v>przemysł i budownictwo</c:v>
                </c:pt>
              </c:strCache>
            </c:strRef>
          </c:tx>
          <c:spPr>
            <a:solidFill>
              <a:schemeClr val="accent5"/>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General</c:formatCode>
                <c:ptCount val="16"/>
                <c:pt idx="0">
                  <c:v>10108.636512875875</c:v>
                </c:pt>
                <c:pt idx="1">
                  <c:v>24252.094590209246</c:v>
                </c:pt>
                <c:pt idx="2">
                  <c:v>42145.510301019174</c:v>
                </c:pt>
                <c:pt idx="3">
                  <c:v>4861.2439352402744</c:v>
                </c:pt>
                <c:pt idx="4">
                  <c:v>9851.1130726555639</c:v>
                </c:pt>
                <c:pt idx="5">
                  <c:v>21075.699848861732</c:v>
                </c:pt>
                <c:pt idx="6">
                  <c:v>52123.542533361069</c:v>
                </c:pt>
                <c:pt idx="7">
                  <c:v>17445.629832176819</c:v>
                </c:pt>
                <c:pt idx="8">
                  <c:v>10220.563851323881</c:v>
                </c:pt>
                <c:pt idx="9">
                  <c:v>1891.6206702758568</c:v>
                </c:pt>
                <c:pt idx="10">
                  <c:v>20853.254576624211</c:v>
                </c:pt>
                <c:pt idx="11">
                  <c:v>17756.256522208776</c:v>
                </c:pt>
                <c:pt idx="12">
                  <c:v>7696.7426187608498</c:v>
                </c:pt>
                <c:pt idx="13">
                  <c:v>2243.3908654956531</c:v>
                </c:pt>
                <c:pt idx="14">
                  <c:v>9864.7908533706723</c:v>
                </c:pt>
                <c:pt idx="15">
                  <c:v>23286.5514155403</c:v>
                </c:pt>
              </c:numCache>
            </c:numRef>
          </c:val>
        </c:ser>
        <c:ser>
          <c:idx val="2"/>
          <c:order val="2"/>
          <c:tx>
            <c:strRef>
              <c:f>Arkusz1!$D$1</c:f>
              <c:strCache>
                <c:ptCount val="1"/>
                <c:pt idx="0">
                  <c:v>transport</c:v>
                </c:pt>
              </c:strCache>
            </c:strRef>
          </c:tx>
          <c:spPr>
            <a:solidFill>
              <a:schemeClr val="accent4">
                <a:lumMod val="60000"/>
                <a:lumOff val="4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General</c:formatCode>
                <c:ptCount val="16"/>
                <c:pt idx="0">
                  <c:v>37.745856725804003</c:v>
                </c:pt>
                <c:pt idx="1">
                  <c:v>53.640283436101484</c:v>
                </c:pt>
                <c:pt idx="2">
                  <c:v>52.550391789238738</c:v>
                </c:pt>
                <c:pt idx="3">
                  <c:v>32.500386917474309</c:v>
                </c:pt>
                <c:pt idx="4">
                  <c:v>6.9720038379613891</c:v>
                </c:pt>
                <c:pt idx="5">
                  <c:v>1197.6348616551222</c:v>
                </c:pt>
                <c:pt idx="6">
                  <c:v>15241.992976262711</c:v>
                </c:pt>
                <c:pt idx="7">
                  <c:v>10.666626430760761</c:v>
                </c:pt>
                <c:pt idx="8">
                  <c:v>143.82672550275231</c:v>
                </c:pt>
                <c:pt idx="9">
                  <c:v>7.5290595685801263</c:v>
                </c:pt>
                <c:pt idx="10">
                  <c:v>436.43033620798997</c:v>
                </c:pt>
                <c:pt idx="11">
                  <c:v>318.1875315918295</c:v>
                </c:pt>
                <c:pt idx="12">
                  <c:v>3.7870982476846957</c:v>
                </c:pt>
                <c:pt idx="13">
                  <c:v>4.1878260855210989</c:v>
                </c:pt>
                <c:pt idx="14">
                  <c:v>215.8373414999098</c:v>
                </c:pt>
                <c:pt idx="15">
                  <c:v>76.433694240558154</c:v>
                </c:pt>
              </c:numCache>
            </c:numRef>
          </c:val>
        </c:ser>
        <c:ser>
          <c:idx val="3"/>
          <c:order val="3"/>
          <c:tx>
            <c:strRef>
              <c:f>Arkusz1!$E$1</c:f>
              <c:strCache>
                <c:ptCount val="1"/>
                <c:pt idx="0">
                  <c:v>drobni odbiorcy</c:v>
                </c:pt>
              </c:strCache>
            </c:strRef>
          </c:tx>
          <c:spPr>
            <a:solidFill>
              <a:srgbClr val="00B050"/>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Arkusz1!$E$2:$E$17</c:f>
              <c:numCache>
                <c:formatCode>General</c:formatCode>
                <c:ptCount val="16"/>
                <c:pt idx="0">
                  <c:v>17884.347360480861</c:v>
                </c:pt>
                <c:pt idx="1">
                  <c:v>8717.5816131691754</c:v>
                </c:pt>
                <c:pt idx="2">
                  <c:v>9107</c:v>
                </c:pt>
                <c:pt idx="3">
                  <c:v>5949.4849796556809</c:v>
                </c:pt>
                <c:pt idx="4">
                  <c:v>7309.8030512221703</c:v>
                </c:pt>
                <c:pt idx="5">
                  <c:v>21257.352326131204</c:v>
                </c:pt>
                <c:pt idx="6">
                  <c:v>37713.572753215907</c:v>
                </c:pt>
                <c:pt idx="7">
                  <c:v>3273.5107335430503</c:v>
                </c:pt>
                <c:pt idx="8">
                  <c:v>12437.019731127308</c:v>
                </c:pt>
                <c:pt idx="9">
                  <c:v>2244</c:v>
                </c:pt>
                <c:pt idx="10">
                  <c:v>10159</c:v>
                </c:pt>
                <c:pt idx="11">
                  <c:v>22674.783359776789</c:v>
                </c:pt>
                <c:pt idx="12">
                  <c:v>4465.958783201384</c:v>
                </c:pt>
                <c:pt idx="13">
                  <c:v>5012.9668016298729</c:v>
                </c:pt>
                <c:pt idx="14">
                  <c:v>20760.385236499809</c:v>
                </c:pt>
                <c:pt idx="15">
                  <c:v>11054.643270346784</c:v>
                </c:pt>
              </c:numCache>
            </c:numRef>
          </c:val>
        </c:ser>
        <c:dLbls>
          <c:showLegendKey val="0"/>
          <c:showVal val="0"/>
          <c:showCatName val="0"/>
          <c:showSerName val="0"/>
          <c:showPercent val="0"/>
          <c:showBubbleSize val="0"/>
        </c:dLbls>
        <c:gapWidth val="50"/>
        <c:overlap val="100"/>
        <c:axId val="372871872"/>
        <c:axId val="372873440"/>
      </c:barChart>
      <c:catAx>
        <c:axId val="37287187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873440"/>
        <c:crosses val="autoZero"/>
        <c:auto val="1"/>
        <c:lblAlgn val="ctr"/>
        <c:lblOffset val="100"/>
        <c:noMultiLvlLbl val="0"/>
      </c:catAx>
      <c:valAx>
        <c:axId val="37287344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87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Arkusz1!$B$1</c:f>
              <c:strCache>
                <c:ptCount val="1"/>
                <c:pt idx="0">
                  <c:v>przemysł i budownictwo</c:v>
                </c:pt>
              </c:strCache>
            </c:strRef>
          </c:tx>
          <c:spPr>
            <a:solidFill>
              <a:schemeClr val="accent4">
                <a:lumMod val="5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0</c:formatCode>
                <c:ptCount val="16"/>
                <c:pt idx="0">
                  <c:v>6901.7429999999995</c:v>
                </c:pt>
                <c:pt idx="1">
                  <c:v>30298.909</c:v>
                </c:pt>
                <c:pt idx="2">
                  <c:v>18177.683000000001</c:v>
                </c:pt>
                <c:pt idx="3">
                  <c:v>4991.8369999999995</c:v>
                </c:pt>
                <c:pt idx="4">
                  <c:v>4142.5</c:v>
                </c:pt>
                <c:pt idx="5">
                  <c:v>19712.156000000003</c:v>
                </c:pt>
                <c:pt idx="6">
                  <c:v>65706.678</c:v>
                </c:pt>
                <c:pt idx="7">
                  <c:v>12699.657999999999</c:v>
                </c:pt>
                <c:pt idx="8">
                  <c:v>5226.4879999999994</c:v>
                </c:pt>
                <c:pt idx="9">
                  <c:v>4574.817</c:v>
                </c:pt>
                <c:pt idx="10">
                  <c:v>23815.597000000002</c:v>
                </c:pt>
                <c:pt idx="11">
                  <c:v>14995.692999999999</c:v>
                </c:pt>
                <c:pt idx="12">
                  <c:v>1651.1490000000001</c:v>
                </c:pt>
                <c:pt idx="13">
                  <c:v>4176.125</c:v>
                </c:pt>
                <c:pt idx="14">
                  <c:v>12848.686</c:v>
                </c:pt>
                <c:pt idx="15">
                  <c:v>12599.476000000001</c:v>
                </c:pt>
              </c:numCache>
            </c:numRef>
          </c:val>
        </c:ser>
        <c:ser>
          <c:idx val="1"/>
          <c:order val="1"/>
          <c:tx>
            <c:strRef>
              <c:f>Arkusz1!$C$1</c:f>
              <c:strCache>
                <c:ptCount val="1"/>
                <c:pt idx="0">
                  <c:v>transport</c:v>
                </c:pt>
              </c:strCache>
            </c:strRef>
          </c:tx>
          <c:spPr>
            <a:solidFill>
              <a:schemeClr val="accent5"/>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0</c:formatCode>
                <c:ptCount val="16"/>
                <c:pt idx="0">
                  <c:v>66.811999999999998</c:v>
                </c:pt>
                <c:pt idx="1">
                  <c:v>74.641000000000005</c:v>
                </c:pt>
                <c:pt idx="2">
                  <c:v>45.155999999999999</c:v>
                </c:pt>
                <c:pt idx="3">
                  <c:v>7.93</c:v>
                </c:pt>
                <c:pt idx="4">
                  <c:v>84.04</c:v>
                </c:pt>
                <c:pt idx="5">
                  <c:v>105.361</c:v>
                </c:pt>
                <c:pt idx="6">
                  <c:v>628.64499999999998</c:v>
                </c:pt>
                <c:pt idx="7">
                  <c:v>28.058</c:v>
                </c:pt>
                <c:pt idx="8">
                  <c:v>19.013000000000002</c:v>
                </c:pt>
                <c:pt idx="9">
                  <c:v>34.218000000000004</c:v>
                </c:pt>
                <c:pt idx="10">
                  <c:v>193.46100000000001</c:v>
                </c:pt>
                <c:pt idx="11">
                  <c:v>140.31299999999999</c:v>
                </c:pt>
                <c:pt idx="12">
                  <c:v>17.888999999999999</c:v>
                </c:pt>
                <c:pt idx="13">
                  <c:v>16.872</c:v>
                </c:pt>
                <c:pt idx="14">
                  <c:v>115.188</c:v>
                </c:pt>
                <c:pt idx="15">
                  <c:v>73.451999999999998</c:v>
                </c:pt>
              </c:numCache>
            </c:numRef>
          </c:val>
        </c:ser>
        <c:ser>
          <c:idx val="2"/>
          <c:order val="2"/>
          <c:tx>
            <c:strRef>
              <c:f>Arkusz1!$D$1</c:f>
              <c:strCache>
                <c:ptCount val="1"/>
                <c:pt idx="0">
                  <c:v>rolnictwo</c:v>
                </c:pt>
              </c:strCache>
            </c:strRef>
          </c:tx>
          <c:spPr>
            <a:solidFill>
              <a:schemeClr val="accent4">
                <a:lumMod val="60000"/>
                <a:lumOff val="4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0</c:formatCode>
                <c:ptCount val="16"/>
                <c:pt idx="0">
                  <c:v>357.44715447154465</c:v>
                </c:pt>
                <c:pt idx="1">
                  <c:v>0</c:v>
                </c:pt>
                <c:pt idx="2">
                  <c:v>0</c:v>
                </c:pt>
                <c:pt idx="3">
                  <c:v>0</c:v>
                </c:pt>
                <c:pt idx="4">
                  <c:v>170.04065040650408</c:v>
                </c:pt>
                <c:pt idx="5">
                  <c:v>76.699186991869922</c:v>
                </c:pt>
                <c:pt idx="6">
                  <c:v>0</c:v>
                </c:pt>
                <c:pt idx="7">
                  <c:v>0</c:v>
                </c:pt>
                <c:pt idx="8">
                  <c:v>61.504065040650403</c:v>
                </c:pt>
                <c:pt idx="9">
                  <c:v>215.62601626016254</c:v>
                </c:pt>
                <c:pt idx="10">
                  <c:v>0</c:v>
                </c:pt>
                <c:pt idx="11">
                  <c:v>0</c:v>
                </c:pt>
                <c:pt idx="12">
                  <c:v>0</c:v>
                </c:pt>
                <c:pt idx="13">
                  <c:v>8.6829268292682915</c:v>
                </c:pt>
                <c:pt idx="14">
                  <c:v>0</c:v>
                </c:pt>
                <c:pt idx="15">
                  <c:v>0</c:v>
                </c:pt>
              </c:numCache>
            </c:numRef>
          </c:val>
        </c:ser>
        <c:ser>
          <c:idx val="3"/>
          <c:order val="3"/>
          <c:tx>
            <c:strRef>
              <c:f>Arkusz1!$E$1</c:f>
              <c:strCache>
                <c:ptCount val="1"/>
                <c:pt idx="0">
                  <c:v>gospodarstwa domowe</c:v>
                </c:pt>
              </c:strCache>
            </c:strRef>
          </c:tx>
          <c:spPr>
            <a:solidFill>
              <a:srgbClr val="00B050"/>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Arkusz1!$E$2:$E$17</c:f>
              <c:numCache>
                <c:formatCode>0</c:formatCode>
                <c:ptCount val="16"/>
                <c:pt idx="0">
                  <c:v>12655</c:v>
                </c:pt>
                <c:pt idx="1">
                  <c:v>9232</c:v>
                </c:pt>
                <c:pt idx="2">
                  <c:v>7363</c:v>
                </c:pt>
                <c:pt idx="3">
                  <c:v>4179</c:v>
                </c:pt>
                <c:pt idx="4">
                  <c:v>12354</c:v>
                </c:pt>
                <c:pt idx="5">
                  <c:v>10408</c:v>
                </c:pt>
                <c:pt idx="6">
                  <c:v>28925</c:v>
                </c:pt>
                <c:pt idx="7">
                  <c:v>3505</c:v>
                </c:pt>
                <c:pt idx="8">
                  <c:v>5320</c:v>
                </c:pt>
                <c:pt idx="9">
                  <c:v>5295</c:v>
                </c:pt>
                <c:pt idx="10">
                  <c:v>11031</c:v>
                </c:pt>
                <c:pt idx="11">
                  <c:v>21926</c:v>
                </c:pt>
                <c:pt idx="12">
                  <c:v>4117</c:v>
                </c:pt>
                <c:pt idx="13">
                  <c:v>6217</c:v>
                </c:pt>
                <c:pt idx="14">
                  <c:v>11736</c:v>
                </c:pt>
                <c:pt idx="15">
                  <c:v>8237</c:v>
                </c:pt>
              </c:numCache>
            </c:numRef>
          </c:val>
        </c:ser>
        <c:ser>
          <c:idx val="4"/>
          <c:order val="4"/>
          <c:tx>
            <c:strRef>
              <c:f>Arkusz1!$F$1</c:f>
              <c:strCache>
                <c:ptCount val="1"/>
                <c:pt idx="0">
                  <c:v>pozostali odbiorcy</c:v>
                </c:pt>
              </c:strCache>
            </c:strRef>
          </c:tx>
          <c:spPr>
            <a:solidFill>
              <a:srgbClr val="FF0000"/>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Arkusz1!$F$2:$F$17</c:f>
              <c:numCache>
                <c:formatCode>0</c:formatCode>
                <c:ptCount val="16"/>
                <c:pt idx="0">
                  <c:v>2685</c:v>
                </c:pt>
                <c:pt idx="1">
                  <c:v>1959</c:v>
                </c:pt>
                <c:pt idx="2">
                  <c:v>1562</c:v>
                </c:pt>
                <c:pt idx="3">
                  <c:v>887</c:v>
                </c:pt>
                <c:pt idx="4">
                  <c:v>2621</c:v>
                </c:pt>
                <c:pt idx="5">
                  <c:v>2208</c:v>
                </c:pt>
                <c:pt idx="6">
                  <c:v>6135.7</c:v>
                </c:pt>
                <c:pt idx="7">
                  <c:v>743</c:v>
                </c:pt>
                <c:pt idx="8">
                  <c:v>1129</c:v>
                </c:pt>
                <c:pt idx="9">
                  <c:v>1123</c:v>
                </c:pt>
                <c:pt idx="10">
                  <c:v>2340</c:v>
                </c:pt>
                <c:pt idx="11">
                  <c:v>4651</c:v>
                </c:pt>
                <c:pt idx="12">
                  <c:v>873</c:v>
                </c:pt>
                <c:pt idx="13">
                  <c:v>1319</c:v>
                </c:pt>
                <c:pt idx="14">
                  <c:v>2490</c:v>
                </c:pt>
                <c:pt idx="15">
                  <c:v>1747</c:v>
                </c:pt>
              </c:numCache>
            </c:numRef>
          </c:val>
        </c:ser>
        <c:dLbls>
          <c:showLegendKey val="0"/>
          <c:showVal val="0"/>
          <c:showCatName val="0"/>
          <c:showSerName val="0"/>
          <c:showPercent val="0"/>
          <c:showBubbleSize val="0"/>
        </c:dLbls>
        <c:gapWidth val="50"/>
        <c:overlap val="100"/>
        <c:axId val="372873832"/>
        <c:axId val="372875008"/>
      </c:barChart>
      <c:catAx>
        <c:axId val="37287383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875008"/>
        <c:crosses val="autoZero"/>
        <c:auto val="1"/>
        <c:lblAlgn val="ctr"/>
        <c:lblOffset val="100"/>
        <c:noMultiLvlLbl val="0"/>
      </c:catAx>
      <c:valAx>
        <c:axId val="372875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87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Arkusz1!$B$1</c:f>
              <c:strCache>
                <c:ptCount val="1"/>
                <c:pt idx="0">
                  <c:v>sektor energii</c:v>
                </c:pt>
              </c:strCache>
            </c:strRef>
          </c:tx>
          <c:spPr>
            <a:solidFill>
              <a:schemeClr val="accent4">
                <a:lumMod val="5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0</c:formatCode>
                <c:ptCount val="16"/>
                <c:pt idx="0">
                  <c:v>1159.0741814510732</c:v>
                </c:pt>
                <c:pt idx="1">
                  <c:v>130.53502610623099</c:v>
                </c:pt>
                <c:pt idx="2" formatCode="General">
                  <c:v>62.172548614786727</c:v>
                </c:pt>
                <c:pt idx="3" formatCode="General">
                  <c:v>76.133696983862748</c:v>
                </c:pt>
                <c:pt idx="4">
                  <c:v>3505.0459583866927</c:v>
                </c:pt>
                <c:pt idx="5">
                  <c:v>518.31777173678336</c:v>
                </c:pt>
                <c:pt idx="6">
                  <c:v>1955.2408104859387</c:v>
                </c:pt>
                <c:pt idx="7">
                  <c:v>634.44235644676576</c:v>
                </c:pt>
                <c:pt idx="8">
                  <c:v>122.84282142149546</c:v>
                </c:pt>
                <c:pt idx="9" formatCode="General">
                  <c:v>18.336569296659022</c:v>
                </c:pt>
                <c:pt idx="10" formatCode="General">
                  <c:v>229.08090187860248</c:v>
                </c:pt>
                <c:pt idx="11" formatCode="General">
                  <c:v>2696.1415833369506</c:v>
                </c:pt>
                <c:pt idx="12" formatCode="General">
                  <c:v>659.52199113981612</c:v>
                </c:pt>
                <c:pt idx="13" formatCode="General">
                  <c:v>41.554229625800417</c:v>
                </c:pt>
                <c:pt idx="14" formatCode="General">
                  <c:v>1195.1917495087696</c:v>
                </c:pt>
                <c:pt idx="15" formatCode="General">
                  <c:v>602.69490357977384</c:v>
                </c:pt>
              </c:numCache>
            </c:numRef>
          </c:val>
        </c:ser>
        <c:ser>
          <c:idx val="1"/>
          <c:order val="1"/>
          <c:tx>
            <c:strRef>
              <c:f>Arkusz1!$C$1</c:f>
              <c:strCache>
                <c:ptCount val="1"/>
                <c:pt idx="0">
                  <c:v>przemysł i budownictwo</c:v>
                </c:pt>
              </c:strCache>
            </c:strRef>
          </c:tx>
          <c:spPr>
            <a:solidFill>
              <a:schemeClr val="accent5"/>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Arkusz1!$C$2:$C$17</c:f>
              <c:numCache>
                <c:formatCode>General</c:formatCode>
                <c:ptCount val="16"/>
                <c:pt idx="0">
                  <c:v>6183.7084194081081</c:v>
                </c:pt>
                <c:pt idx="1">
                  <c:v>4103.1972298112487</c:v>
                </c:pt>
                <c:pt idx="2">
                  <c:v>2987.9433470466747</c:v>
                </c:pt>
                <c:pt idx="3">
                  <c:v>1809.3198639407744</c:v>
                </c:pt>
                <c:pt idx="4">
                  <c:v>3835.2127748190342</c:v>
                </c:pt>
                <c:pt idx="5">
                  <c:v>4935.8229863709821</c:v>
                </c:pt>
                <c:pt idx="6">
                  <c:v>10203.062114844815</c:v>
                </c:pt>
                <c:pt idx="7">
                  <c:v>2183.9438701255017</c:v>
                </c:pt>
                <c:pt idx="8">
                  <c:v>2181.5184015932969</c:v>
                </c:pt>
                <c:pt idx="9">
                  <c:v>995.96129511320248</c:v>
                </c:pt>
                <c:pt idx="10">
                  <c:v>3289.2161156643911</c:v>
                </c:pt>
                <c:pt idx="11">
                  <c:v>12426.643360702208</c:v>
                </c:pt>
                <c:pt idx="12">
                  <c:v>2142.8453942413644</c:v>
                </c:pt>
                <c:pt idx="13">
                  <c:v>1204.8293025470712</c:v>
                </c:pt>
                <c:pt idx="14">
                  <c:v>4899.9126999471373</c:v>
                </c:pt>
                <c:pt idx="15">
                  <c:v>2339.2008238241879</c:v>
                </c:pt>
              </c:numCache>
            </c:numRef>
          </c:val>
        </c:ser>
        <c:ser>
          <c:idx val="2"/>
          <c:order val="2"/>
          <c:tx>
            <c:strRef>
              <c:f>Arkusz1!$D$1</c:f>
              <c:strCache>
                <c:ptCount val="1"/>
                <c:pt idx="0">
                  <c:v>transport</c:v>
                </c:pt>
              </c:strCache>
            </c:strRef>
          </c:tx>
          <c:spPr>
            <a:solidFill>
              <a:schemeClr val="accent4">
                <a:lumMod val="60000"/>
                <a:lumOff val="40000"/>
              </a:schemeClr>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Arkusz1!$D$2:$D$17</c:f>
              <c:numCache>
                <c:formatCode>General</c:formatCode>
                <c:ptCount val="16"/>
                <c:pt idx="0">
                  <c:v>265.02173962760935</c:v>
                </c:pt>
                <c:pt idx="1">
                  <c:v>195.63866035085195</c:v>
                </c:pt>
                <c:pt idx="2">
                  <c:v>109.91539605087341</c:v>
                </c:pt>
                <c:pt idx="3">
                  <c:v>87.572558780066757</c:v>
                </c:pt>
                <c:pt idx="4">
                  <c:v>385.41416374519616</c:v>
                </c:pt>
                <c:pt idx="5">
                  <c:v>267.78412801782338</c:v>
                </c:pt>
                <c:pt idx="6">
                  <c:v>1097.6393477331135</c:v>
                </c:pt>
                <c:pt idx="7">
                  <c:v>93.383867512430029</c:v>
                </c:pt>
                <c:pt idx="8">
                  <c:v>165.17288241054194</c:v>
                </c:pt>
                <c:pt idx="9">
                  <c:v>82.355043743899486</c:v>
                </c:pt>
                <c:pt idx="10">
                  <c:v>371.4917236641499</c:v>
                </c:pt>
                <c:pt idx="11">
                  <c:v>315.58952531018332</c:v>
                </c:pt>
                <c:pt idx="12">
                  <c:v>123.01386807725891</c:v>
                </c:pt>
                <c:pt idx="13">
                  <c:v>77.850614027329613</c:v>
                </c:pt>
                <c:pt idx="14">
                  <c:v>451.67194356488193</c:v>
                </c:pt>
                <c:pt idx="15">
                  <c:v>217.66153738379046</c:v>
                </c:pt>
              </c:numCache>
            </c:numRef>
          </c:val>
        </c:ser>
        <c:ser>
          <c:idx val="3"/>
          <c:order val="3"/>
          <c:tx>
            <c:strRef>
              <c:f>Arkusz1!$E$1</c:f>
              <c:strCache>
                <c:ptCount val="1"/>
                <c:pt idx="0">
                  <c:v>drobni odbiorcy</c:v>
                </c:pt>
              </c:strCache>
            </c:strRef>
          </c:tx>
          <c:spPr>
            <a:solidFill>
              <a:srgbClr val="00B050"/>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Arkusz1!$E$2:$E$17</c:f>
              <c:numCache>
                <c:formatCode>General</c:formatCode>
                <c:ptCount val="16"/>
                <c:pt idx="0">
                  <c:v>5674.1735671010674</c:v>
                </c:pt>
                <c:pt idx="1">
                  <c:v>3586.6278194753777</c:v>
                </c:pt>
                <c:pt idx="2">
                  <c:v>2810.947709369058</c:v>
                </c:pt>
                <c:pt idx="3">
                  <c:v>1694.9655505482092</c:v>
                </c:pt>
                <c:pt idx="4">
                  <c:v>4624.5683816305718</c:v>
                </c:pt>
                <c:pt idx="5">
                  <c:v>6861.2100950939875</c:v>
                </c:pt>
                <c:pt idx="6">
                  <c:v>12168.556196135136</c:v>
                </c:pt>
                <c:pt idx="7">
                  <c:v>2116.6223639975906</c:v>
                </c:pt>
                <c:pt idx="8">
                  <c:v>2926.6216292403451</c:v>
                </c:pt>
                <c:pt idx="9">
                  <c:v>1810.939538096444</c:v>
                </c:pt>
                <c:pt idx="10">
                  <c:v>3882.0883735380676</c:v>
                </c:pt>
                <c:pt idx="11">
                  <c:v>9893.0410975718405</c:v>
                </c:pt>
                <c:pt idx="12">
                  <c:v>1784.8845342790923</c:v>
                </c:pt>
                <c:pt idx="13">
                  <c:v>2341.067960579649</c:v>
                </c:pt>
                <c:pt idx="14">
                  <c:v>5825.962466972097</c:v>
                </c:pt>
                <c:pt idx="15">
                  <c:v>2981.3077163714597</c:v>
                </c:pt>
              </c:numCache>
            </c:numRef>
          </c:val>
        </c:ser>
        <c:dLbls>
          <c:showLegendKey val="0"/>
          <c:showVal val="0"/>
          <c:showCatName val="0"/>
          <c:showSerName val="0"/>
          <c:showPercent val="0"/>
          <c:showBubbleSize val="0"/>
        </c:dLbls>
        <c:gapWidth val="50"/>
        <c:overlap val="100"/>
        <c:axId val="372869128"/>
        <c:axId val="443341552"/>
      </c:barChart>
      <c:catAx>
        <c:axId val="37286912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3341552"/>
        <c:crosses val="autoZero"/>
        <c:auto val="1"/>
        <c:lblAlgn val="ctr"/>
        <c:lblOffset val="100"/>
        <c:noMultiLvlLbl val="0"/>
      </c:catAx>
      <c:valAx>
        <c:axId val="44334155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7286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7914E-2"/>
          <c:y val="1.2394573507095732E-2"/>
          <c:w val="0.89360145086030918"/>
          <c:h val="0.8243197019727373"/>
        </c:manualLayout>
      </c:layout>
      <c:barChart>
        <c:barDir val="col"/>
        <c:grouping val="percentStacked"/>
        <c:varyColors val="0"/>
        <c:ser>
          <c:idx val="0"/>
          <c:order val="0"/>
          <c:tx>
            <c:strRef>
              <c:f>Arkusz1!$A$2</c:f>
              <c:strCache>
                <c:ptCount val="1"/>
                <c:pt idx="0">
                  <c:v>dolnośląskie</c:v>
                </c:pt>
              </c:strCache>
            </c:strRef>
          </c:tx>
          <c:spPr>
            <a:solidFill>
              <a:schemeClr val="accent1"/>
            </a:solidFill>
            <a:ln>
              <a:noFill/>
            </a:ln>
            <a:effectLst/>
          </c:spPr>
          <c:invertIfNegative val="0"/>
          <c:dLbls>
            <c:dLbl>
              <c:idx val="0"/>
              <c:layout>
                <c:manualLayout>
                  <c:x val="9.9537037037037035E-2"/>
                  <c:y val="-1.2131097798212599E-1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185185185185185"/>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4907407407407413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Arkusz1!$B$2:$D$2</c:f>
              <c:numCache>
                <c:formatCode>0.0%</c:formatCode>
                <c:ptCount val="3"/>
                <c:pt idx="0">
                  <c:v>4.4310298789287571E-2</c:v>
                </c:pt>
                <c:pt idx="1">
                  <c:v>6.2819563894138994E-2</c:v>
                </c:pt>
                <c:pt idx="2">
                  <c:v>1.2615394082752827E-2</c:v>
                </c:pt>
              </c:numCache>
            </c:numRef>
          </c:val>
        </c:ser>
        <c:ser>
          <c:idx val="1"/>
          <c:order val="1"/>
          <c:tx>
            <c:strRef>
              <c:f>Arkusz1!$A$3</c:f>
              <c:strCache>
                <c:ptCount val="1"/>
                <c:pt idx="0">
                  <c:v>kujawsko-pomorskie</c:v>
                </c:pt>
              </c:strCache>
            </c:strRef>
          </c:tx>
          <c:spPr>
            <a:solidFill>
              <a:schemeClr val="accent2"/>
            </a:solidFill>
            <a:ln>
              <a:noFill/>
            </a:ln>
            <a:effectLst/>
          </c:spPr>
          <c:invertIfNegative val="0"/>
          <c:dLbls>
            <c:dLbl>
              <c:idx val="0"/>
              <c:layout>
                <c:manualLayout>
                  <c:x val="0.10185185185185185"/>
                  <c:y val="-4.9627791563276649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9.9537037037037035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4907407407407413E-2"/>
                  <c:y val="-1.2131097798212599E-16"/>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Arkusz1!$B$3:$D$3</c:f>
              <c:numCache>
                <c:formatCode>0.0%</c:formatCode>
                <c:ptCount val="3"/>
                <c:pt idx="0">
                  <c:v>4.7324261687879003E-2</c:v>
                </c:pt>
                <c:pt idx="1">
                  <c:v>6.7930640506481413E-2</c:v>
                </c:pt>
                <c:pt idx="2">
                  <c:v>1.9700199145815434E-2</c:v>
                </c:pt>
              </c:numCache>
            </c:numRef>
          </c:val>
        </c:ser>
        <c:ser>
          <c:idx val="2"/>
          <c:order val="2"/>
          <c:tx>
            <c:strRef>
              <c:f>Arkusz1!$A$4</c:f>
              <c:strCache>
                <c:ptCount val="1"/>
                <c:pt idx="0">
                  <c:v>lubelskie</c:v>
                </c:pt>
              </c:strCache>
            </c:strRef>
          </c:tx>
          <c:spPr>
            <a:solidFill>
              <a:schemeClr val="accent3"/>
            </a:solidFill>
            <a:ln>
              <a:noFill/>
            </a:ln>
            <a:effectLst/>
          </c:spPr>
          <c:invertIfNegative val="0"/>
          <c:dLbls>
            <c:dLbl>
              <c:idx val="0"/>
              <c:layout>
                <c:manualLayout>
                  <c:x val="9.9537037037037035E-2"/>
                  <c:y val="-1.654259718775969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185185185185185"/>
                  <c:y val="-1.2131097798212599E-1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7222222222222224E-2"/>
                  <c:y val="-4.9627791563275434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Arkusz1!$B$4:$D$4</c:f>
              <c:numCache>
                <c:formatCode>0.0%</c:formatCode>
                <c:ptCount val="3"/>
                <c:pt idx="0">
                  <c:v>4.9259920222679131E-2</c:v>
                </c:pt>
                <c:pt idx="1">
                  <c:v>4.461667636898977E-2</c:v>
                </c:pt>
                <c:pt idx="2">
                  <c:v>3.0132226717024891E-3</c:v>
                </c:pt>
              </c:numCache>
            </c:numRef>
          </c:val>
        </c:ser>
        <c:ser>
          <c:idx val="3"/>
          <c:order val="3"/>
          <c:tx>
            <c:strRef>
              <c:f>Arkusz1!$A$5</c:f>
              <c:strCache>
                <c:ptCount val="1"/>
                <c:pt idx="0">
                  <c:v>lubuskie</c:v>
                </c:pt>
              </c:strCache>
            </c:strRef>
          </c:tx>
          <c:spPr>
            <a:solidFill>
              <a:schemeClr val="accent4"/>
            </a:solidFill>
            <a:ln>
              <a:noFill/>
            </a:ln>
            <a:effectLst/>
          </c:spPr>
          <c:invertIfNegative val="0"/>
          <c:dLbls>
            <c:dLbl>
              <c:idx val="0"/>
              <c:layout>
                <c:manualLayout>
                  <c:x val="0.10185185185185185"/>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185185185185185"/>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4907407407407413E-2"/>
                  <c:y val="-1.9851116625310174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Arkusz1!$B$5:$D$5</c:f>
              <c:numCache>
                <c:formatCode>0.0%</c:formatCode>
                <c:ptCount val="3"/>
                <c:pt idx="0">
                  <c:v>2.0061166327548896E-2</c:v>
                </c:pt>
                <c:pt idx="1">
                  <c:v>1.7759925158877796E-2</c:v>
                </c:pt>
                <c:pt idx="2">
                  <c:v>4.1214476509956479E-4</c:v>
                </c:pt>
              </c:numCache>
            </c:numRef>
          </c:val>
        </c:ser>
        <c:ser>
          <c:idx val="4"/>
          <c:order val="4"/>
          <c:tx>
            <c:strRef>
              <c:f>Arkusz1!$A$6</c:f>
              <c:strCache>
                <c:ptCount val="1"/>
                <c:pt idx="0">
                  <c:v>łódzkie</c:v>
                </c:pt>
              </c:strCache>
            </c:strRef>
          </c:tx>
          <c:spPr>
            <a:solidFill>
              <a:schemeClr val="accent5"/>
            </a:solidFill>
            <a:ln>
              <a:noFill/>
            </a:ln>
            <a:effectLst/>
          </c:spPr>
          <c:invertIfNegative val="0"/>
          <c:dLbls>
            <c:dLbl>
              <c:idx val="0"/>
              <c:layout>
                <c:manualLayout>
                  <c:x val="0.10185185185185185"/>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185185185185185"/>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4907407407407413E-2"/>
                  <c:y val="-2.9776674937965261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Arkusz1!$B$6:$D$6</c:f>
              <c:numCache>
                <c:formatCode>0.0%</c:formatCode>
                <c:ptCount val="3"/>
                <c:pt idx="0">
                  <c:v>6.3372088475405902E-2</c:v>
                </c:pt>
                <c:pt idx="1">
                  <c:v>8.0451135250083225E-2</c:v>
                </c:pt>
                <c:pt idx="2">
                  <c:v>2.0302961276531712E-2</c:v>
                </c:pt>
              </c:numCache>
            </c:numRef>
          </c:val>
        </c:ser>
        <c:ser>
          <c:idx val="5"/>
          <c:order val="5"/>
          <c:tx>
            <c:strRef>
              <c:f>Arkusz1!$A$7</c:f>
              <c:strCache>
                <c:ptCount val="1"/>
                <c:pt idx="0">
                  <c:v>małopolskie</c:v>
                </c:pt>
              </c:strCache>
            </c:strRef>
          </c:tx>
          <c:spPr>
            <a:solidFill>
              <a:schemeClr val="accent6"/>
            </a:solidFill>
            <a:ln>
              <a:noFill/>
            </a:ln>
            <a:effectLst/>
          </c:spPr>
          <c:invertIfNegative val="0"/>
          <c:dLbls>
            <c:dLbl>
              <c:idx val="0"/>
              <c:layout>
                <c:manualLayout>
                  <c:x val="9.9537037037037035E-2"/>
                  <c:y val="-4.962779156327543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9.9537037037037035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7222222222222224E-2"/>
                  <c:y val="-3.9702233250620347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Arkusz1!$B$7:$D$7</c:f>
              <c:numCache>
                <c:formatCode>0.0%</c:formatCode>
                <c:ptCount val="3"/>
                <c:pt idx="0">
                  <c:v>4.3592619857267458E-2</c:v>
                </c:pt>
                <c:pt idx="1">
                  <c:v>4.9517549151509764E-2</c:v>
                </c:pt>
                <c:pt idx="2">
                  <c:v>1.0710711840114216E-2</c:v>
                </c:pt>
              </c:numCache>
            </c:numRef>
          </c:val>
        </c:ser>
        <c:ser>
          <c:idx val="6"/>
          <c:order val="6"/>
          <c:tx>
            <c:strRef>
              <c:f>Arkusz1!$A$8</c:f>
              <c:strCache>
                <c:ptCount val="1"/>
                <c:pt idx="0">
                  <c:v>mazowieckie</c:v>
                </c:pt>
              </c:strCache>
            </c:strRef>
          </c:tx>
          <c:spPr>
            <a:solidFill>
              <a:schemeClr val="accent1">
                <a:lumMod val="60000"/>
              </a:schemeClr>
            </a:solidFill>
            <a:ln>
              <a:noFill/>
            </a:ln>
            <a:effectLst/>
          </c:spPr>
          <c:invertIfNegative val="0"/>
          <c:dLbls>
            <c:dLbl>
              <c:idx val="0"/>
              <c:layout>
                <c:manualLayout>
                  <c:x val="0.10416666666666667"/>
                  <c:y val="-4.962779156327543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4.9627791563276041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879629629629629"/>
                  <c:y val="-1.6542597187758478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Arkusz1!$B$8:$D$8</c:f>
              <c:numCache>
                <c:formatCode>0.0%</c:formatCode>
                <c:ptCount val="3"/>
                <c:pt idx="0">
                  <c:v>0.33819417907026483</c:v>
                </c:pt>
                <c:pt idx="1">
                  <c:v>0.23559092902752418</c:v>
                </c:pt>
                <c:pt idx="2">
                  <c:v>0.7699005618930288</c:v>
                </c:pt>
              </c:numCache>
            </c:numRef>
          </c:val>
        </c:ser>
        <c:ser>
          <c:idx val="7"/>
          <c:order val="7"/>
          <c:tx>
            <c:strRef>
              <c:f>Arkusz1!$A$9</c:f>
              <c:strCache>
                <c:ptCount val="1"/>
                <c:pt idx="0">
                  <c:v>opolskie</c:v>
                </c:pt>
              </c:strCache>
            </c:strRef>
          </c:tx>
          <c:spPr>
            <a:solidFill>
              <a:schemeClr val="accent2">
                <a:lumMod val="60000"/>
              </a:schemeClr>
            </a:solidFill>
            <a:ln>
              <a:noFill/>
            </a:ln>
            <a:effectLst/>
          </c:spPr>
          <c:invertIfNegative val="0"/>
          <c:dLbls>
            <c:dLbl>
              <c:idx val="0"/>
              <c:layout>
                <c:manualLayout>
                  <c:x val="9.9537037037037035E-2"/>
                  <c:y val="9.925558312655086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879629629629638"/>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9.9537037037037035E-2"/>
                  <c:y val="3.970223325062032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Arkusz1!$B$9:$D$9</c:f>
              <c:numCache>
                <c:formatCode>0.0%</c:formatCode>
                <c:ptCount val="3"/>
                <c:pt idx="0">
                  <c:v>2.503845178873235E-2</c:v>
                </c:pt>
                <c:pt idx="1">
                  <c:v>2.9607013347089092E-2</c:v>
                </c:pt>
                <c:pt idx="2">
                  <c:v>8.1742898164110234E-3</c:v>
                </c:pt>
              </c:numCache>
            </c:numRef>
          </c:val>
        </c:ser>
        <c:ser>
          <c:idx val="8"/>
          <c:order val="8"/>
          <c:tx>
            <c:strRef>
              <c:f>Arkusz1!$A$10</c:f>
              <c:strCache>
                <c:ptCount val="1"/>
                <c:pt idx="0">
                  <c:v>podkarpackie</c:v>
                </c:pt>
              </c:strCache>
            </c:strRef>
          </c:tx>
          <c:spPr>
            <a:solidFill>
              <a:schemeClr val="accent3">
                <a:lumMod val="60000"/>
              </a:schemeClr>
            </a:solidFill>
            <a:ln>
              <a:noFill/>
            </a:ln>
            <a:effectLst/>
          </c:spPr>
          <c:invertIfNegative val="0"/>
          <c:dLbls>
            <c:dLbl>
              <c:idx val="0"/>
              <c:layout>
                <c:manualLayout>
                  <c:x val="0.10185185185185185"/>
                  <c:y val="-6.0655488991062995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648148148148148"/>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416666666666667"/>
                  <c:y val="1.488833746898263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Arkusz1!$B$10:$D$10</c:f>
              <c:numCache>
                <c:formatCode>0.0%</c:formatCode>
                <c:ptCount val="3"/>
                <c:pt idx="0">
                  <c:v>1.7218424423893978E-2</c:v>
                </c:pt>
                <c:pt idx="1">
                  <c:v>2.4645847826907503E-2</c:v>
                </c:pt>
                <c:pt idx="2">
                  <c:v>1.0474663435902663E-4</c:v>
                </c:pt>
              </c:numCache>
            </c:numRef>
          </c:val>
        </c:ser>
        <c:ser>
          <c:idx val="9"/>
          <c:order val="9"/>
          <c:tx>
            <c:strRef>
              <c:f>Arkusz1!$A$11</c:f>
              <c:strCache>
                <c:ptCount val="1"/>
                <c:pt idx="0">
                  <c:v>podlaskie</c:v>
                </c:pt>
              </c:strCache>
            </c:strRef>
          </c:tx>
          <c:spPr>
            <a:solidFill>
              <a:schemeClr val="accent4">
                <a:lumMod val="60000"/>
              </a:schemeClr>
            </a:solidFill>
            <a:ln>
              <a:noFill/>
            </a:ln>
            <a:effectLst/>
          </c:spPr>
          <c:invertIfNegative val="0"/>
          <c:dLbls>
            <c:dLbl>
              <c:idx val="0"/>
              <c:layout>
                <c:manualLayout>
                  <c:x val="0.10185185185185185"/>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879629629629638"/>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185185185185185"/>
                  <c:y val="-8.2712985938792546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Arkusz1!$B$11:$D$11</c:f>
              <c:numCache>
                <c:formatCode>0.0%</c:formatCode>
                <c:ptCount val="3"/>
                <c:pt idx="0">
                  <c:v>3.788210720683198E-2</c:v>
                </c:pt>
                <c:pt idx="1">
                  <c:v>3.7330169319464701E-2</c:v>
                </c:pt>
                <c:pt idx="2">
                  <c:v>3.4451536099770266E-3</c:v>
                </c:pt>
              </c:numCache>
            </c:numRef>
          </c:val>
        </c:ser>
        <c:ser>
          <c:idx val="10"/>
          <c:order val="10"/>
          <c:tx>
            <c:strRef>
              <c:f>Arkusz1!$A$12</c:f>
              <c:strCache>
                <c:ptCount val="1"/>
                <c:pt idx="0">
                  <c:v>pomorskie</c:v>
                </c:pt>
              </c:strCache>
            </c:strRef>
          </c:tx>
          <c:spPr>
            <a:solidFill>
              <a:schemeClr val="accent5">
                <a:lumMod val="60000"/>
              </a:schemeClr>
            </a:solidFill>
            <a:ln>
              <a:noFill/>
            </a:ln>
            <a:effectLst/>
          </c:spPr>
          <c:invertIfNegative val="0"/>
          <c:dLbls>
            <c:dLbl>
              <c:idx val="0"/>
              <c:layout>
                <c:manualLayout>
                  <c:x val="0.10185185185185185"/>
                  <c:y val="-3.3085194375516956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1.6542597187759085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416666666666667"/>
                  <c:y val="4.9627791563275434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Arkusz1!$B$12:$D$12</c:f>
              <c:numCache>
                <c:formatCode>0.0%</c:formatCode>
                <c:ptCount val="3"/>
                <c:pt idx="0">
                  <c:v>6.2204782012455176E-2</c:v>
                </c:pt>
                <c:pt idx="1">
                  <c:v>5.9734928743434293E-2</c:v>
                </c:pt>
                <c:pt idx="2">
                  <c:v>8.8484963051293719E-2</c:v>
                </c:pt>
              </c:numCache>
            </c:numRef>
          </c:val>
        </c:ser>
        <c:ser>
          <c:idx val="11"/>
          <c:order val="11"/>
          <c:tx>
            <c:strRef>
              <c:f>Arkusz1!$A$13</c:f>
              <c:strCache>
                <c:ptCount val="1"/>
                <c:pt idx="0">
                  <c:v>śląskie</c:v>
                </c:pt>
              </c:strCache>
            </c:strRef>
          </c:tx>
          <c:spPr>
            <a:solidFill>
              <a:schemeClr val="accent6">
                <a:lumMod val="60000"/>
              </a:schemeClr>
            </a:solidFill>
            <a:ln>
              <a:noFill/>
            </a:ln>
            <a:effectLst/>
          </c:spPr>
          <c:invertIfNegative val="0"/>
          <c:dLbls>
            <c:dLbl>
              <c:idx val="0"/>
              <c:layout>
                <c:manualLayout>
                  <c:x val="0.10185185185185185"/>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1.6542597187758782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185185185185185"/>
                  <c:y val="2.9776674937965261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Arkusz1!$B$13:$D$13</c:f>
              <c:numCache>
                <c:formatCode>0.0%</c:formatCode>
                <c:ptCount val="3"/>
                <c:pt idx="0">
                  <c:v>7.1237228973740768E-2</c:v>
                </c:pt>
                <c:pt idx="1">
                  <c:v>9.0236100573153247E-2</c:v>
                </c:pt>
                <c:pt idx="2">
                  <c:v>3.2876110031420817E-2</c:v>
                </c:pt>
              </c:numCache>
            </c:numRef>
          </c:val>
        </c:ser>
        <c:ser>
          <c:idx val="12"/>
          <c:order val="12"/>
          <c:tx>
            <c:strRef>
              <c:f>Arkusz1!$A$14</c:f>
              <c:strCache>
                <c:ptCount val="1"/>
                <c:pt idx="0">
                  <c:v>świętokrzyskie</c:v>
                </c:pt>
              </c:strCache>
            </c:strRef>
          </c:tx>
          <c:spPr>
            <a:solidFill>
              <a:schemeClr val="accent1">
                <a:lumMod val="80000"/>
                <a:lumOff val="20000"/>
              </a:schemeClr>
            </a:solidFill>
            <a:ln>
              <a:noFill/>
            </a:ln>
            <a:effectLst/>
          </c:spPr>
          <c:invertIfNegative val="0"/>
          <c:dLbls>
            <c:dLbl>
              <c:idx val="0"/>
              <c:layout>
                <c:manualLayout>
                  <c:x val="9.9537037037037035E-2"/>
                  <c:y val="-3.3085194375516956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648148148148148"/>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185185185185185"/>
                  <c:y val="2.6468155500413565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Arkusz1!$B$14:$D$14</c:f>
              <c:numCache>
                <c:formatCode>0.0%</c:formatCode>
                <c:ptCount val="3"/>
                <c:pt idx="0">
                  <c:v>3.1994293620077184E-2</c:v>
                </c:pt>
                <c:pt idx="1">
                  <c:v>2.8824695772799652E-2</c:v>
                </c:pt>
                <c:pt idx="2">
                  <c:v>7.2667829488880491E-3</c:v>
                </c:pt>
              </c:numCache>
            </c:numRef>
          </c:val>
        </c:ser>
        <c:ser>
          <c:idx val="13"/>
          <c:order val="13"/>
          <c:tx>
            <c:strRef>
              <c:f>Arkusz1!$A$15</c:f>
              <c:strCache>
                <c:ptCount val="1"/>
                <c:pt idx="0">
                  <c:v>warmińsko-mazurskie</c:v>
                </c:pt>
              </c:strCache>
            </c:strRef>
          </c:tx>
          <c:spPr>
            <a:solidFill>
              <a:schemeClr val="accent2">
                <a:lumMod val="80000"/>
                <a:lumOff val="20000"/>
              </a:schemeClr>
            </a:solidFill>
            <a:ln>
              <a:noFill/>
            </a:ln>
            <a:effectLst/>
          </c:spPr>
          <c:invertIfNegative val="0"/>
          <c:dLbls>
            <c:dLbl>
              <c:idx val="0"/>
              <c:layout>
                <c:manualLayout>
                  <c:x val="0.10185185185185185"/>
                  <c:y val="-1.5163872247765749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1.654259718775847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416666666666667"/>
                  <c:y val="1.3234077750206782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Arkusz1!$B$15:$D$15</c:f>
              <c:numCache>
                <c:formatCode>0.0%</c:formatCode>
                <c:ptCount val="3"/>
                <c:pt idx="0">
                  <c:v>4.0826114008997751E-2</c:v>
                </c:pt>
                <c:pt idx="1">
                  <c:v>4.1323550643885251E-2</c:v>
                </c:pt>
                <c:pt idx="2">
                  <c:v>2.314739404021075E-4</c:v>
                </c:pt>
              </c:numCache>
            </c:numRef>
          </c:val>
        </c:ser>
        <c:ser>
          <c:idx val="14"/>
          <c:order val="14"/>
          <c:tx>
            <c:strRef>
              <c:f>Arkusz1!$A$16</c:f>
              <c:strCache>
                <c:ptCount val="1"/>
                <c:pt idx="0">
                  <c:v>wielkopolskie</c:v>
                </c:pt>
              </c:strCache>
            </c:strRef>
          </c:tx>
          <c:spPr>
            <a:solidFill>
              <a:schemeClr val="accent3">
                <a:lumMod val="80000"/>
                <a:lumOff val="20000"/>
              </a:schemeClr>
            </a:solidFill>
            <a:ln>
              <a:noFill/>
            </a:ln>
            <a:effectLst/>
          </c:spPr>
          <c:invertIfNegative val="0"/>
          <c:dLbls>
            <c:dLbl>
              <c:idx val="0"/>
              <c:layout>
                <c:manualLayout>
                  <c:x val="0.10185185185185185"/>
                  <c:y val="-7.5819361238828743E-1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416666666666667"/>
                  <c:y val="3.3085194375516956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Arkusz1!$B$16:$D$16</c:f>
              <c:numCache>
                <c:formatCode>0.0%</c:formatCode>
                <c:ptCount val="3"/>
                <c:pt idx="0">
                  <c:v>7.712332771046744E-2</c:v>
                </c:pt>
                <c:pt idx="1">
                  <c:v>9.0000184495645202E-2</c:v>
                </c:pt>
                <c:pt idx="2">
                  <c:v>1.7128597436516589E-2</c:v>
                </c:pt>
              </c:numCache>
            </c:numRef>
          </c:val>
        </c:ser>
        <c:ser>
          <c:idx val="15"/>
          <c:order val="15"/>
          <c:tx>
            <c:strRef>
              <c:f>Arkusz1!$A$17</c:f>
              <c:strCache>
                <c:ptCount val="1"/>
                <c:pt idx="0">
                  <c:v>zachodniopomorskie</c:v>
                </c:pt>
              </c:strCache>
            </c:strRef>
          </c:tx>
          <c:spPr>
            <a:solidFill>
              <a:schemeClr val="accent4">
                <a:lumMod val="80000"/>
                <a:lumOff val="20000"/>
              </a:schemeClr>
            </a:solidFill>
            <a:ln>
              <a:noFill/>
            </a:ln>
            <a:effectLst/>
          </c:spPr>
          <c:invertIfNegative val="0"/>
          <c:dLbls>
            <c:dLbl>
              <c:idx val="0"/>
              <c:layout>
                <c:manualLayout>
                  <c:x val="9.9537037037037035E-2"/>
                  <c:y val="1.65425971877584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10416666666666667"/>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185185185185185"/>
                  <c:y val="-3.1486945025172102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Arkusz1!$B$1:$D$1</c:f>
              <c:strCache>
                <c:ptCount val="3"/>
                <c:pt idx="0">
                  <c:v>gaz ciekły</c:v>
                </c:pt>
                <c:pt idx="1">
                  <c:v>lekki olej opałowy</c:v>
                </c:pt>
                <c:pt idx="2">
                  <c:v>ciężki olej opałowy</c:v>
                </c:pt>
              </c:strCache>
            </c:strRef>
          </c:cat>
          <c:val>
            <c:numRef>
              <c:f>Arkusz1!$B$17:$D$17</c:f>
              <c:numCache>
                <c:formatCode>0.0%</c:formatCode>
                <c:ptCount val="3"/>
                <c:pt idx="0">
                  <c:v>3.0360735824470509E-2</c:v>
                </c:pt>
                <c:pt idx="1">
                  <c:v>3.9611089920016038E-2</c:v>
                </c:pt>
                <c:pt idx="2">
                  <c:v>5.6326868556868335E-3</c:v>
                </c:pt>
              </c:numCache>
            </c:numRef>
          </c:val>
        </c:ser>
        <c:dLbls>
          <c:dLblPos val="ctr"/>
          <c:showLegendKey val="0"/>
          <c:showVal val="1"/>
          <c:showCatName val="0"/>
          <c:showSerName val="0"/>
          <c:showPercent val="0"/>
          <c:showBubbleSize val="0"/>
        </c:dLbls>
        <c:gapWidth val="150"/>
        <c:overlap val="100"/>
        <c:axId val="443345472"/>
        <c:axId val="443344688"/>
      </c:barChart>
      <c:catAx>
        <c:axId val="44334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3344688"/>
        <c:crosses val="autoZero"/>
        <c:auto val="1"/>
        <c:lblAlgn val="ctr"/>
        <c:lblOffset val="100"/>
        <c:noMultiLvlLbl val="0"/>
      </c:catAx>
      <c:valAx>
        <c:axId val="44334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334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TotalTime>
  <Pages>22</Pages>
  <Words>1686</Words>
  <Characters>10119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Peryt Szymon</dc:creator>
  <cp:keywords/>
  <dc:description/>
  <cp:lastModifiedBy>Peryt Szymon</cp:lastModifiedBy>
  <cp:revision>11</cp:revision>
  <cp:lastPrinted>2016-12-15T12:54:00Z</cp:lastPrinted>
  <dcterms:created xsi:type="dcterms:W3CDTF">2016-12-13T14:16:00Z</dcterms:created>
  <dcterms:modified xsi:type="dcterms:W3CDTF">2016-12-16T11:53:00Z</dcterms:modified>
</cp:coreProperties>
</file>