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9F" w:rsidRDefault="00D7169F" w:rsidP="00985C1B">
      <w:pPr>
        <w:pStyle w:val="tytuinformacji"/>
        <w:tabs>
          <w:tab w:val="left" w:pos="567"/>
        </w:tabs>
        <w:spacing w:before="0"/>
        <w:rPr>
          <w:shd w:val="clear" w:color="auto" w:fill="FFFFFF"/>
        </w:rPr>
      </w:pPr>
      <w:r w:rsidRPr="005A785A">
        <w:rPr>
          <w:shd w:val="clear" w:color="auto" w:fill="FFFFFF"/>
        </w:rPr>
        <w:t>Gospodarka energetyczna i gazownictwo w 20</w:t>
      </w:r>
      <w:r w:rsidR="00F75718">
        <w:rPr>
          <w:shd w:val="clear" w:color="auto" w:fill="FFFFFF"/>
        </w:rPr>
        <w:t>20</w:t>
      </w:r>
      <w:r w:rsidRPr="005A785A">
        <w:rPr>
          <w:shd w:val="clear" w:color="auto" w:fill="FFFFFF"/>
        </w:rPr>
        <w:t xml:space="preserve"> r</w:t>
      </w:r>
      <w:r>
        <w:rPr>
          <w:shd w:val="clear" w:color="auto" w:fill="FFFFFF"/>
        </w:rPr>
        <w:t>.</w:t>
      </w:r>
    </w:p>
    <w:p w:rsidR="00E2731E" w:rsidRPr="006717B3" w:rsidRDefault="00E2731E" w:rsidP="00E2731E">
      <w:pPr>
        <w:pStyle w:val="tytuinformacji"/>
        <w:spacing w:before="0"/>
        <w:rPr>
          <w:sz w:val="22"/>
        </w:rPr>
      </w:pPr>
    </w:p>
    <w:p w:rsidR="00D7169F" w:rsidRPr="00074DD8" w:rsidRDefault="00D7169F" w:rsidP="00D7169F">
      <w:pPr>
        <w:pStyle w:val="LID"/>
      </w:pPr>
      <w:r w:rsidRPr="00074DD8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C76D959" wp14:editId="467CF19D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945640" cy="1045845"/>
                <wp:effectExtent l="0" t="0" r="0" b="190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03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3D2" w:rsidRPr="00B66B19" w:rsidRDefault="008E53D2" w:rsidP="00D7169F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15A5DBE0" wp14:editId="16F0D5CD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3,5%</w:t>
                            </w:r>
                          </w:p>
                          <w:p w:rsidR="008E53D2" w:rsidRPr="00074DD8" w:rsidRDefault="008E53D2" w:rsidP="00D7169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Pr="005A785A">
                              <w:t xml:space="preserve"> zużycia gazu</w:t>
                            </w:r>
                            <w:r>
                              <w:t xml:space="preserve"> z sieci</w:t>
                            </w:r>
                            <w:r w:rsidRPr="005A785A">
                              <w:t xml:space="preserve"> na 1</w:t>
                            </w:r>
                            <w:r>
                              <w:t> </w:t>
                            </w:r>
                            <w:r w:rsidRPr="005A785A">
                              <w:t xml:space="preserve">mieszkańca </w:t>
                            </w:r>
                            <w:r>
                              <w:t xml:space="preserve">w </w:t>
                            </w:r>
                            <w:r w:rsidRPr="005A785A">
                              <w:t>miast</w:t>
                            </w:r>
                            <w:r>
                              <w:t>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6D9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153.2pt;height:82.3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" fillcolor="#001d77" stroked="f">
                <v:textbox>
                  <w:txbxContent>
                    <w:p w:rsidR="008E53D2" w:rsidRPr="00B66B19" w:rsidRDefault="008E53D2" w:rsidP="00D7169F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15A5DBE0" wp14:editId="16F0D5CD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3,5%</w:t>
                      </w:r>
                    </w:p>
                    <w:p w:rsidR="008E53D2" w:rsidRPr="00074DD8" w:rsidRDefault="008E53D2" w:rsidP="00D7169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Pr="005A785A">
                        <w:t xml:space="preserve"> zużycia gazu</w:t>
                      </w:r>
                      <w:r>
                        <w:t xml:space="preserve"> z sieci</w:t>
                      </w:r>
                      <w:r w:rsidRPr="005A785A">
                        <w:t xml:space="preserve"> na 1</w:t>
                      </w:r>
                      <w:r>
                        <w:t> </w:t>
                      </w:r>
                      <w:r w:rsidRPr="005A785A">
                        <w:t xml:space="preserve">mieszkańca </w:t>
                      </w:r>
                      <w:r>
                        <w:t xml:space="preserve">w </w:t>
                      </w:r>
                      <w:r w:rsidRPr="005A785A">
                        <w:t>miast</w:t>
                      </w:r>
                      <w:r>
                        <w:t>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85A">
        <w:t>W Polsce w 20</w:t>
      </w:r>
      <w:r w:rsidR="00111DE3">
        <w:t>20</w:t>
      </w:r>
      <w:r w:rsidRPr="005A785A">
        <w:t xml:space="preserve"> r</w:t>
      </w:r>
      <w:r>
        <w:t>.</w:t>
      </w:r>
      <w:r w:rsidRPr="005A785A">
        <w:t xml:space="preserve"> zużycie gazu</w:t>
      </w:r>
      <w:r w:rsidR="00705987">
        <w:t xml:space="preserve"> z sieci</w:t>
      </w:r>
      <w:r w:rsidRPr="005A785A">
        <w:t xml:space="preserve"> przypadające na</w:t>
      </w:r>
      <w:r>
        <w:t> </w:t>
      </w:r>
      <w:r w:rsidRPr="005A785A">
        <w:t>1</w:t>
      </w:r>
      <w:r>
        <w:t> </w:t>
      </w:r>
      <w:r w:rsidRPr="005A785A">
        <w:t xml:space="preserve">mieszkańca </w:t>
      </w:r>
      <w:r w:rsidR="00D55A10">
        <w:t>w miastach</w:t>
      </w:r>
      <w:r w:rsidRPr="005A785A">
        <w:t xml:space="preserve"> </w:t>
      </w:r>
      <w:r w:rsidR="001D1C48">
        <w:t>wzrosło</w:t>
      </w:r>
      <w:r w:rsidRPr="005A785A">
        <w:t xml:space="preserve"> o </w:t>
      </w:r>
      <w:r w:rsidR="00111DE3">
        <w:t>5</w:t>
      </w:r>
      <w:r w:rsidR="001D1C48">
        <w:t>4,</w:t>
      </w:r>
      <w:r w:rsidR="00111DE3">
        <w:t>3</w:t>
      </w:r>
      <w:r w:rsidR="00DA2E43">
        <w:t xml:space="preserve"> </w:t>
      </w:r>
      <w:r w:rsidRPr="005A785A">
        <w:t xml:space="preserve">kWh </w:t>
      </w:r>
      <w:r w:rsidR="00D55A10">
        <w:br/>
      </w:r>
      <w:r w:rsidRPr="005A785A">
        <w:t>(</w:t>
      </w:r>
      <w:r w:rsidR="009305B0">
        <w:t xml:space="preserve">o </w:t>
      </w:r>
      <w:r w:rsidR="00111DE3">
        <w:t>3</w:t>
      </w:r>
      <w:r w:rsidR="00DA2E43">
        <w:t>,</w:t>
      </w:r>
      <w:r w:rsidR="00111DE3">
        <w:t>5</w:t>
      </w:r>
      <w:r w:rsidRPr="005A785A">
        <w:t>%) i</w:t>
      </w:r>
      <w:r>
        <w:t> </w:t>
      </w:r>
      <w:r w:rsidR="00DA2E43">
        <w:t xml:space="preserve">wyniosło 1 </w:t>
      </w:r>
      <w:r w:rsidR="00111DE3">
        <w:t>611</w:t>
      </w:r>
      <w:r w:rsidRPr="005A785A">
        <w:t xml:space="preserve"> kWh.</w:t>
      </w:r>
    </w:p>
    <w:p w:rsidR="00D7169F" w:rsidRDefault="00D7169F" w:rsidP="00D7169F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D7169F" w:rsidRDefault="00D7169F" w:rsidP="00D7169F">
      <w:pPr>
        <w:rPr>
          <w:lang w:eastAsia="pl-PL"/>
        </w:rPr>
      </w:pPr>
    </w:p>
    <w:p w:rsidR="00D7169F" w:rsidRDefault="00D7169F" w:rsidP="00D7169F">
      <w:pPr>
        <w:rPr>
          <w:lang w:eastAsia="pl-PL"/>
        </w:rPr>
      </w:pPr>
    </w:p>
    <w:p w:rsidR="006717B3" w:rsidRDefault="006717B3" w:rsidP="00BA6751">
      <w:pPr>
        <w:pStyle w:val="Nagwek1"/>
        <w:spacing w:before="120" w:line="240" w:lineRule="exact"/>
        <w:rPr>
          <w:rFonts w:ascii="Fira Sans" w:hAnsi="Fira Sans"/>
          <w:b/>
        </w:rPr>
      </w:pPr>
    </w:p>
    <w:p w:rsidR="00D7169F" w:rsidRDefault="00D7169F" w:rsidP="00BA6751">
      <w:pPr>
        <w:pStyle w:val="Nagwek1"/>
        <w:spacing w:before="120" w:line="240" w:lineRule="exact"/>
        <w:rPr>
          <w:shd w:val="clear" w:color="auto" w:fill="FFFFFF"/>
        </w:rPr>
      </w:pPr>
      <w:r>
        <w:rPr>
          <w:rFonts w:ascii="Fira Sans" w:hAnsi="Fira Sans"/>
          <w:b/>
          <w:noProof/>
          <w:spacing w:val="-2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424DFC69" wp14:editId="13918F6C">
                <wp:simplePos x="0" y="0"/>
                <wp:positionH relativeFrom="column">
                  <wp:posOffset>5227983</wp:posOffset>
                </wp:positionH>
                <wp:positionV relativeFrom="paragraph">
                  <wp:posOffset>91247</wp:posOffset>
                </wp:positionV>
                <wp:extent cx="1667510" cy="857250"/>
                <wp:effectExtent l="0" t="0" r="0" b="0"/>
                <wp:wrapTight wrapText="bothSides">
                  <wp:wrapPolygon edited="0">
                    <wp:start x="740" y="0"/>
                    <wp:lineTo x="740" y="21120"/>
                    <wp:lineTo x="20728" y="21120"/>
                    <wp:lineTo x="20728" y="0"/>
                    <wp:lineTo x="74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3D2" w:rsidRPr="00D616D2" w:rsidRDefault="008E53D2" w:rsidP="00D7169F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W porównaniu z 2019 r. długość sieci gazowej zwiększyła się o 2,7%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FC69" id="Pole tekstowe 14" o:spid="_x0000_s1027" type="#_x0000_t202" style="position:absolute;margin-left:411.65pt;margin-top:7.2pt;width:131.3pt;height:67.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" filled="f" stroked="f">
                <v:textbox>
                  <w:txbxContent>
                    <w:p w:rsidR="008E53D2" w:rsidRPr="00D616D2" w:rsidRDefault="008E53D2" w:rsidP="00D7169F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W porównaniu z 2019 r. długość sieci gazowej zwiększyła się o 2,7%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36A86">
        <w:rPr>
          <w:rFonts w:ascii="Fira Sans" w:hAnsi="Fira Sans"/>
          <w:b/>
        </w:rPr>
        <w:t>Sieć</w:t>
      </w:r>
      <w:r w:rsidR="00BA6751">
        <w:rPr>
          <w:rFonts w:ascii="Fira Sans" w:hAnsi="Fira Sans"/>
          <w:b/>
        </w:rPr>
        <w:t xml:space="preserve"> gazowa</w:t>
      </w:r>
    </w:p>
    <w:p w:rsidR="00D7169F" w:rsidRDefault="00BF27C6" w:rsidP="00D7169F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Na koniec</w:t>
      </w:r>
      <w:r w:rsidR="00D7169F">
        <w:rPr>
          <w:shd w:val="clear" w:color="auto" w:fill="FFFFFF"/>
        </w:rPr>
        <w:t xml:space="preserve"> 20</w:t>
      </w:r>
      <w:r w:rsidR="00111DE3">
        <w:rPr>
          <w:shd w:val="clear" w:color="auto" w:fill="FFFFFF"/>
        </w:rPr>
        <w:t>20</w:t>
      </w:r>
      <w:r w:rsidR="00D7169F">
        <w:rPr>
          <w:shd w:val="clear" w:color="auto" w:fill="FFFFFF"/>
        </w:rPr>
        <w:t xml:space="preserve"> r. sieć gazowa w Polsce osiągnęła długość 1</w:t>
      </w:r>
      <w:r w:rsidR="002124CE">
        <w:rPr>
          <w:shd w:val="clear" w:color="auto" w:fill="FFFFFF"/>
        </w:rPr>
        <w:t>62</w:t>
      </w:r>
      <w:r w:rsidR="00D7169F">
        <w:rPr>
          <w:shd w:val="clear" w:color="auto" w:fill="FFFFFF"/>
        </w:rPr>
        <w:t>,</w:t>
      </w:r>
      <w:r w:rsidR="002124CE">
        <w:rPr>
          <w:shd w:val="clear" w:color="auto" w:fill="FFFFFF"/>
        </w:rPr>
        <w:t>1</w:t>
      </w:r>
      <w:r w:rsidR="00D7169F">
        <w:rPr>
          <w:shd w:val="clear" w:color="auto" w:fill="FFFFFF"/>
        </w:rPr>
        <w:t xml:space="preserve"> tys. km (z czego 1</w:t>
      </w:r>
      <w:r w:rsidR="002124CE">
        <w:rPr>
          <w:shd w:val="clear" w:color="auto" w:fill="FFFFFF"/>
        </w:rPr>
        <w:t>40</w:t>
      </w:r>
      <w:r w:rsidR="00D7169F">
        <w:rPr>
          <w:shd w:val="clear" w:color="auto" w:fill="FFFFFF"/>
        </w:rPr>
        <w:t>,</w:t>
      </w:r>
      <w:r w:rsidR="002124CE">
        <w:rPr>
          <w:shd w:val="clear" w:color="auto" w:fill="FFFFFF"/>
        </w:rPr>
        <w:t>4</w:t>
      </w:r>
      <w:r w:rsidR="00D7169F">
        <w:rPr>
          <w:shd w:val="clear" w:color="auto" w:fill="FFFFFF"/>
        </w:rPr>
        <w:t xml:space="preserve"> tys. km przypadało na sieć rozdzielczą). W porównaniu do roku poprzedniego długoś</w:t>
      </w:r>
      <w:r w:rsidR="00C43C70">
        <w:rPr>
          <w:shd w:val="clear" w:color="auto" w:fill="FFFFFF"/>
        </w:rPr>
        <w:t>ć</w:t>
      </w:r>
      <w:r w:rsidR="00D7169F">
        <w:rPr>
          <w:shd w:val="clear" w:color="auto" w:fill="FFFFFF"/>
        </w:rPr>
        <w:t xml:space="preserve"> sieci gazowej ogółem </w:t>
      </w:r>
      <w:r w:rsidR="00C43C70">
        <w:rPr>
          <w:shd w:val="clear" w:color="auto" w:fill="FFFFFF"/>
        </w:rPr>
        <w:t>wzrosła</w:t>
      </w:r>
      <w:r w:rsidR="00D7169F" w:rsidRPr="001D6F26">
        <w:rPr>
          <w:shd w:val="clear" w:color="auto" w:fill="FFFFFF"/>
        </w:rPr>
        <w:t xml:space="preserve"> o </w:t>
      </w:r>
      <w:r w:rsidR="00C43C70">
        <w:rPr>
          <w:shd w:val="clear" w:color="auto" w:fill="FFFFFF"/>
        </w:rPr>
        <w:t>4</w:t>
      </w:r>
      <w:r w:rsidR="00D7169F" w:rsidRPr="001D6F26">
        <w:rPr>
          <w:shd w:val="clear" w:color="auto" w:fill="FFFFFF"/>
        </w:rPr>
        <w:t>,</w:t>
      </w:r>
      <w:r w:rsidR="00C43C70">
        <w:rPr>
          <w:shd w:val="clear" w:color="auto" w:fill="FFFFFF"/>
        </w:rPr>
        <w:t>2</w:t>
      </w:r>
      <w:r w:rsidR="00D7169F" w:rsidRPr="001D6F26">
        <w:rPr>
          <w:shd w:val="clear" w:color="auto" w:fill="FFFFFF"/>
        </w:rPr>
        <w:t xml:space="preserve"> tys. km (</w:t>
      </w:r>
      <w:r w:rsidR="009305B0">
        <w:rPr>
          <w:shd w:val="clear" w:color="auto" w:fill="FFFFFF"/>
        </w:rPr>
        <w:t xml:space="preserve">o </w:t>
      </w:r>
      <w:r w:rsidR="007C2B00">
        <w:rPr>
          <w:shd w:val="clear" w:color="auto" w:fill="FFFFFF"/>
        </w:rPr>
        <w:t>2</w:t>
      </w:r>
      <w:r w:rsidR="001D6F26" w:rsidRPr="001D6F26">
        <w:rPr>
          <w:shd w:val="clear" w:color="auto" w:fill="FFFFFF"/>
        </w:rPr>
        <w:t>,</w:t>
      </w:r>
      <w:r w:rsidR="002124CE">
        <w:rPr>
          <w:shd w:val="clear" w:color="auto" w:fill="FFFFFF"/>
        </w:rPr>
        <w:t>7</w:t>
      </w:r>
      <w:r w:rsidR="00D7169F" w:rsidRPr="001D6F26">
        <w:rPr>
          <w:shd w:val="clear" w:color="auto" w:fill="FFFFFF"/>
        </w:rPr>
        <w:t>%),</w:t>
      </w:r>
      <w:r w:rsidR="00D7169F">
        <w:rPr>
          <w:shd w:val="clear" w:color="auto" w:fill="FFFFFF"/>
        </w:rPr>
        <w:t xml:space="preserve"> natomiast liczba przyłączy </w:t>
      </w:r>
      <w:r w:rsidR="00D7169F" w:rsidRPr="001D6F26">
        <w:rPr>
          <w:shd w:val="clear" w:color="auto" w:fill="FFFFFF"/>
        </w:rPr>
        <w:t xml:space="preserve">o </w:t>
      </w:r>
      <w:r w:rsidR="007C2B00">
        <w:rPr>
          <w:shd w:val="clear" w:color="auto" w:fill="FFFFFF"/>
        </w:rPr>
        <w:t>111</w:t>
      </w:r>
      <w:r w:rsidR="00D7169F" w:rsidRPr="001D6F26">
        <w:rPr>
          <w:shd w:val="clear" w:color="auto" w:fill="FFFFFF"/>
        </w:rPr>
        <w:t xml:space="preserve"> tys. szt. (</w:t>
      </w:r>
      <w:r w:rsidR="009305B0">
        <w:rPr>
          <w:shd w:val="clear" w:color="auto" w:fill="FFFFFF"/>
        </w:rPr>
        <w:t xml:space="preserve">o </w:t>
      </w:r>
      <w:r w:rsidR="007C2B00">
        <w:rPr>
          <w:shd w:val="clear" w:color="auto" w:fill="FFFFFF"/>
        </w:rPr>
        <w:t>3</w:t>
      </w:r>
      <w:r w:rsidR="001D6F26" w:rsidRPr="001D6F26">
        <w:rPr>
          <w:shd w:val="clear" w:color="auto" w:fill="FFFFFF"/>
        </w:rPr>
        <w:t>,</w:t>
      </w:r>
      <w:r w:rsidR="00C43C70">
        <w:rPr>
          <w:shd w:val="clear" w:color="auto" w:fill="FFFFFF"/>
        </w:rPr>
        <w:t>7</w:t>
      </w:r>
      <w:r w:rsidR="00D7169F" w:rsidRPr="001D6F26">
        <w:rPr>
          <w:shd w:val="clear" w:color="auto" w:fill="FFFFFF"/>
        </w:rPr>
        <w:t>%).</w:t>
      </w:r>
      <w:r w:rsidR="00D7169F">
        <w:rPr>
          <w:shd w:val="clear" w:color="auto" w:fill="FFFFFF"/>
        </w:rPr>
        <w:t xml:space="preserve"> </w:t>
      </w:r>
    </w:p>
    <w:p w:rsidR="00D7169F" w:rsidRPr="006717B3" w:rsidRDefault="00D7169F" w:rsidP="00D7169F">
      <w:pPr>
        <w:spacing w:before="0" w:after="0"/>
        <w:rPr>
          <w:spacing w:val="-2"/>
          <w:sz w:val="16"/>
          <w:szCs w:val="19"/>
        </w:rPr>
      </w:pPr>
    </w:p>
    <w:p w:rsidR="00D7169F" w:rsidRDefault="00D7169F" w:rsidP="00D7169F">
      <w:pPr>
        <w:spacing w:before="0" w:after="0"/>
        <w:rPr>
          <w:spacing w:val="-2"/>
          <w:sz w:val="18"/>
        </w:rPr>
      </w:pPr>
      <w:r w:rsidRPr="007A38B8">
        <w:rPr>
          <w:b/>
          <w:spacing w:val="-2"/>
          <w:sz w:val="18"/>
        </w:rPr>
        <w:t xml:space="preserve">Tablica </w:t>
      </w:r>
      <w:r>
        <w:rPr>
          <w:b/>
          <w:spacing w:val="-2"/>
          <w:sz w:val="18"/>
        </w:rPr>
        <w:t>1</w:t>
      </w:r>
      <w:r w:rsidRPr="007A38B8">
        <w:rPr>
          <w:b/>
          <w:spacing w:val="-2"/>
          <w:sz w:val="18"/>
        </w:rPr>
        <w:t xml:space="preserve">. </w:t>
      </w:r>
      <w:r>
        <w:rPr>
          <w:b/>
          <w:spacing w:val="-2"/>
          <w:sz w:val="18"/>
        </w:rPr>
        <w:t>Sieć gazowa oraz odbiorcy i zużycie gazu z sieci w gospodarstwach domowych</w:t>
      </w:r>
    </w:p>
    <w:p w:rsidR="00D7169F" w:rsidRPr="00F458CE" w:rsidRDefault="00D7169F" w:rsidP="00D7169F">
      <w:pPr>
        <w:spacing w:before="0" w:after="0"/>
        <w:rPr>
          <w:sz w:val="12"/>
          <w:szCs w:val="12"/>
          <w:shd w:val="clear" w:color="auto" w:fill="FFFFFF"/>
        </w:rPr>
      </w:pPr>
    </w:p>
    <w:tbl>
      <w:tblPr>
        <w:tblW w:w="787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909"/>
        <w:gridCol w:w="909"/>
        <w:gridCol w:w="909"/>
        <w:gridCol w:w="909"/>
      </w:tblGrid>
      <w:tr w:rsidR="00D7169F" w:rsidRPr="0038453C" w:rsidTr="00F75718">
        <w:trPr>
          <w:trHeight w:val="315"/>
        </w:trPr>
        <w:tc>
          <w:tcPr>
            <w:tcW w:w="4242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38453C" w:rsidRDefault="00D7169F" w:rsidP="007F72F1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909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38453C" w:rsidRDefault="00D7169F" w:rsidP="0014454F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F7571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09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2E6D51" w:rsidRDefault="00D7169F" w:rsidP="0014454F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E6D5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F7571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  <w:r w:rsidR="00243454" w:rsidRPr="002E6D5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E6D5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 w:rsidR="00243454" w:rsidRPr="002E6D5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E6D5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09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38453C" w:rsidRDefault="00D7169F" w:rsidP="0014454F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  <w:r w:rsidR="00F57AB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09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38453C" w:rsidRDefault="00D7169F" w:rsidP="0014454F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F57AB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  <w:r w:rsidR="0024345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 w:rsidR="0024345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F75718" w:rsidRPr="0038453C" w:rsidTr="00F75718">
        <w:trPr>
          <w:trHeight w:val="330"/>
        </w:trPr>
        <w:tc>
          <w:tcPr>
            <w:tcW w:w="4242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F75718" w:rsidRDefault="00F75718" w:rsidP="00F7571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Sieć gazowa w km (stan na 31 grudnia)</w:t>
            </w:r>
          </w:p>
          <w:p w:rsidR="00F75718" w:rsidRDefault="00F75718" w:rsidP="00F75718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F75718" w:rsidRPr="0038453C" w:rsidRDefault="00F75718" w:rsidP="00F75718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09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157 868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65 551</w:t>
            </w:r>
          </w:p>
          <w:p w:rsidR="00F75718" w:rsidRPr="0038453C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92 317</w:t>
            </w:r>
          </w:p>
        </w:tc>
        <w:tc>
          <w:tcPr>
            <w:tcW w:w="909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102,3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102,5</w:t>
            </w:r>
          </w:p>
          <w:p w:rsidR="00F75718" w:rsidRPr="0038453C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09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F75718" w:rsidRPr="00DA0865" w:rsidRDefault="00F719D6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162</w:t>
            </w:r>
            <w:r w:rsidR="00F75718" w:rsidRPr="00DA086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089</w:t>
            </w:r>
          </w:p>
          <w:p w:rsidR="00F75718" w:rsidRPr="00DA0865" w:rsidRDefault="001D2AF6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67</w:t>
            </w:r>
            <w:r w:rsidR="00F75718" w:rsidRPr="00DA086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244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909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102,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102,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102,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</w:tr>
      <w:tr w:rsidR="00F75718" w:rsidRPr="00D11CEF" w:rsidTr="00F75718">
        <w:trPr>
          <w:trHeight w:val="315"/>
        </w:trPr>
        <w:tc>
          <w:tcPr>
            <w:tcW w:w="4242" w:type="dxa"/>
            <w:tcBorders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F75718" w:rsidRDefault="00F75718" w:rsidP="00F7571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Przyłącza prowad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zące do budynków mieszkalnych i 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niemieszkalnych w tys. szt. (stan na 31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grudnia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  <w:p w:rsidR="00F75718" w:rsidRDefault="00F75718" w:rsidP="00F75718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F75718" w:rsidRPr="00D11CEF" w:rsidRDefault="00F75718" w:rsidP="00F75718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09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3 048,1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1 793,9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1 254,2</w:t>
            </w:r>
          </w:p>
        </w:tc>
        <w:tc>
          <w:tcPr>
            <w:tcW w:w="909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103,8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103,8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09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3 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159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850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309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9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103,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103,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</w:tr>
      <w:tr w:rsidR="00F75718" w:rsidRPr="00D11CEF" w:rsidTr="00F75718">
        <w:trPr>
          <w:trHeight w:val="478"/>
        </w:trPr>
        <w:tc>
          <w:tcPr>
            <w:tcW w:w="4242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Odbiorcy gazu z sieci w tys. (stan na 31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grudnia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  <w:p w:rsidR="00F75718" w:rsidRDefault="00F75718" w:rsidP="00F75718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F75718" w:rsidRPr="00D11CEF" w:rsidRDefault="00F75718" w:rsidP="00F75718">
            <w:pPr>
              <w:spacing w:before="0" w:after="0"/>
              <w:ind w:left="182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957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6 799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1 158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101,9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101,2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Pr="00DA0865" w:rsidRDefault="001D2AF6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="00F75718" w:rsidRPr="00DA086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340</w:t>
            </w:r>
          </w:p>
          <w:p w:rsidR="00F75718" w:rsidRPr="00DA0865" w:rsidRDefault="001D2AF6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="00F75718" w:rsidRPr="00DA086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047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11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</w:tr>
      <w:tr w:rsidR="00F75718" w:rsidRPr="00D11CEF" w:rsidTr="00F75718">
        <w:trPr>
          <w:trHeight w:val="478"/>
        </w:trPr>
        <w:tc>
          <w:tcPr>
            <w:tcW w:w="4242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Zużycie gazu z sieci (w ciągu roku) w </w:t>
            </w:r>
            <w:proofErr w:type="spellStart"/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GWh</w:t>
            </w:r>
            <w:proofErr w:type="spellEnd"/>
          </w:p>
          <w:p w:rsidR="00F75718" w:rsidRDefault="00F75718" w:rsidP="00F75718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F75718" w:rsidRPr="00D11CEF" w:rsidRDefault="00F75718" w:rsidP="00F75718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47 855,3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35 898,7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11 956,5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102,0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100,1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Pr="00DA0865" w:rsidRDefault="001D2AF6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50</w:t>
            </w:r>
            <w:r w:rsidR="00F75718" w:rsidRPr="00DA086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293</w:t>
            </w:r>
            <w:r w:rsidR="00F75718" w:rsidRPr="00DA0865">
              <w:rPr>
                <w:rFonts w:eastAsia="Times New Roman" w:cs="Calibri"/>
                <w:sz w:val="16"/>
                <w:szCs w:val="16"/>
                <w:lang w:eastAsia="pl-PL"/>
              </w:rPr>
              <w:t>,3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064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228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,5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</w:tr>
      <w:tr w:rsidR="00F75718" w:rsidRPr="00D11CEF" w:rsidTr="00F75718">
        <w:trPr>
          <w:trHeight w:val="1008"/>
        </w:trPr>
        <w:tc>
          <w:tcPr>
            <w:tcW w:w="4242" w:type="dxa"/>
            <w:tcBorders>
              <w:top w:val="single" w:sz="4" w:space="0" w:color="001D77"/>
              <w:bottom w:val="nil"/>
            </w:tcBorders>
            <w:shd w:val="clear" w:color="auto" w:fill="auto"/>
          </w:tcPr>
          <w:p w:rsidR="00F75718" w:rsidRDefault="00F75718" w:rsidP="00F7571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Zużycie gazu z sieci (w ciągu roku)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na 1 mieszkańca w k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Wh</w:t>
            </w:r>
          </w:p>
          <w:p w:rsidR="00F75718" w:rsidRDefault="00F75718" w:rsidP="00F75718">
            <w:pPr>
              <w:spacing w:before="0" w:after="0"/>
              <w:ind w:left="182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F75718" w:rsidRPr="00D11CEF" w:rsidRDefault="00F75718" w:rsidP="00F75718">
            <w:pPr>
              <w:spacing w:before="0" w:after="0"/>
              <w:ind w:left="182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246,7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1 557,1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779,8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717B3">
              <w:rPr>
                <w:rFonts w:eastAsia="Times New Roman" w:cs="Calibri"/>
                <w:color w:val="FFFFFF" w:themeColor="background1"/>
                <w:sz w:val="16"/>
                <w:szCs w:val="16"/>
                <w:lang w:eastAsia="pl-PL"/>
              </w:rPr>
              <w:t>.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102,1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100,3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108,2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</w:tcPr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311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1 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611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  <w:p w:rsidR="00F75718" w:rsidRPr="00DA0865" w:rsidRDefault="001D2AF6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861</w:t>
            </w:r>
            <w:r w:rsidR="00F75718"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</w:tcPr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</w:tr>
      <w:tr w:rsidR="00F75718" w:rsidRPr="00D11CEF" w:rsidTr="00F75718">
        <w:trPr>
          <w:trHeight w:val="478"/>
        </w:trPr>
        <w:tc>
          <w:tcPr>
            <w:tcW w:w="4242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Zuży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cie gazu z sieci (w ciągu roku) na 1 odbiorcę w k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Wh</w:t>
            </w:r>
          </w:p>
          <w:p w:rsidR="00F75718" w:rsidRDefault="00F75718" w:rsidP="00F75718">
            <w:pPr>
              <w:spacing w:before="0" w:after="0"/>
              <w:ind w:left="214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F75718" w:rsidRPr="00D11CEF" w:rsidRDefault="00F75718" w:rsidP="00F75718">
            <w:pPr>
              <w:spacing w:before="0" w:after="0"/>
              <w:ind w:left="214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6 014,1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5 279,8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325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100,1</w:t>
            </w:r>
          </w:p>
          <w:p w:rsidR="00F75718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98,9</w:t>
            </w:r>
          </w:p>
          <w:p w:rsidR="00F75718" w:rsidRPr="00D11CEF" w:rsidRDefault="00F75718" w:rsidP="00F75718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6 0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30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5 2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9,</w:t>
            </w:r>
            <w:r w:rsidR="001D2AF6" w:rsidRPr="00DA0865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10 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234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EF74F0" w:rsidRPr="00DA0865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100,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  <w:p w:rsidR="00F75718" w:rsidRPr="00DA0865" w:rsidRDefault="00F75718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DA0865" w:rsidRPr="00DA0865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  <w:p w:rsidR="00F75718" w:rsidRPr="00DA0865" w:rsidRDefault="00DA0865" w:rsidP="00F7571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99</w:t>
            </w:r>
            <w:r w:rsidR="00F75718" w:rsidRPr="00DA086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DA0865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</w:tr>
    </w:tbl>
    <w:p w:rsidR="00A3346A" w:rsidRDefault="00A3346A" w:rsidP="00D7169F">
      <w:pPr>
        <w:spacing w:before="0"/>
        <w:rPr>
          <w:szCs w:val="19"/>
          <w:shd w:val="clear" w:color="auto" w:fill="FFFFFF"/>
        </w:rPr>
      </w:pPr>
    </w:p>
    <w:p w:rsidR="00D7169F" w:rsidRPr="00D11CEF" w:rsidRDefault="00BA6751" w:rsidP="00D7169F">
      <w:pPr>
        <w:spacing w:before="0"/>
        <w:rPr>
          <w:strike/>
          <w:szCs w:val="19"/>
          <w:shd w:val="clear" w:color="auto" w:fill="FFFFFF"/>
        </w:rPr>
      </w:pPr>
      <w:r w:rsidRPr="00D11CEF">
        <w:rPr>
          <w:noProof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91EF089" wp14:editId="3F3116E9">
                <wp:simplePos x="0" y="0"/>
                <wp:positionH relativeFrom="column">
                  <wp:posOffset>5233707</wp:posOffset>
                </wp:positionH>
                <wp:positionV relativeFrom="paragraph">
                  <wp:posOffset>356036</wp:posOffset>
                </wp:positionV>
                <wp:extent cx="1537970" cy="883285"/>
                <wp:effectExtent l="0" t="0" r="0" b="0"/>
                <wp:wrapTight wrapText="bothSides">
                  <wp:wrapPolygon edited="0">
                    <wp:start x="803" y="0"/>
                    <wp:lineTo x="803" y="20963"/>
                    <wp:lineTo x="20601" y="20963"/>
                    <wp:lineTo x="20601" y="0"/>
                    <wp:lineTo x="803" y="0"/>
                  </wp:wrapPolygon>
                </wp:wrapTight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8832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53D2" w:rsidRPr="00A755AB" w:rsidRDefault="008E53D2" w:rsidP="00D7169F">
                            <w:pPr>
                              <w:pStyle w:val="tekstzboku"/>
                            </w:pPr>
                            <w:r w:rsidRPr="00A755AB">
                              <w:t xml:space="preserve">Zużycie gazu z sieci przez gospodarstwa domowe </w:t>
                            </w:r>
                            <w:r>
                              <w:t>wzrosło</w:t>
                            </w:r>
                            <w:r w:rsidRPr="00A755AB">
                              <w:t xml:space="preserve"> o </w:t>
                            </w:r>
                            <w:r>
                              <w:t>5,1</w:t>
                            </w:r>
                            <w:r w:rsidRPr="00A755AB">
                              <w:t>% w</w:t>
                            </w:r>
                            <w:r>
                              <w:t> </w:t>
                            </w:r>
                            <w:r w:rsidRPr="00A755AB">
                              <w:t>porównaniu do 201</w:t>
                            </w:r>
                            <w:r>
                              <w:t>9</w:t>
                            </w:r>
                            <w:r w:rsidRPr="00A755AB"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EF089" id="Prostokąt 19" o:spid="_x0000_s1028" style="position:absolute;margin-left:412.1pt;margin-top:28.05pt;width:121.1pt;height:69.5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" filled="f" stroked="f" strokeweight="1pt">
                <v:textbox>
                  <w:txbxContent>
                    <w:p w:rsidR="008E53D2" w:rsidRPr="00A755AB" w:rsidRDefault="008E53D2" w:rsidP="00D7169F">
                      <w:pPr>
                        <w:pStyle w:val="tekstzboku"/>
                      </w:pPr>
                      <w:r w:rsidRPr="00A755AB">
                        <w:t xml:space="preserve">Zużycie gazu z sieci przez gospodarstwa domowe </w:t>
                      </w:r>
                      <w:r>
                        <w:t>wzrosło</w:t>
                      </w:r>
                      <w:r w:rsidRPr="00A755AB">
                        <w:t xml:space="preserve"> o </w:t>
                      </w:r>
                      <w:r>
                        <w:t>5,1</w:t>
                      </w:r>
                      <w:r w:rsidRPr="00A755AB">
                        <w:t>% w</w:t>
                      </w:r>
                      <w:r>
                        <w:t> </w:t>
                      </w:r>
                      <w:r w:rsidRPr="00A755AB">
                        <w:t>porównaniu do 201</w:t>
                      </w:r>
                      <w:r>
                        <w:t>9</w:t>
                      </w:r>
                      <w:r w:rsidRPr="00A755AB">
                        <w:t xml:space="preserve"> r.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7169F" w:rsidRPr="00D11CEF">
        <w:rPr>
          <w:szCs w:val="19"/>
          <w:shd w:val="clear" w:color="auto" w:fill="FFFFFF"/>
        </w:rPr>
        <w:t xml:space="preserve">Długość sieci gazowej rozdzielczej </w:t>
      </w:r>
      <w:r w:rsidR="00235937">
        <w:rPr>
          <w:szCs w:val="19"/>
          <w:shd w:val="clear" w:color="auto" w:fill="FFFFFF"/>
        </w:rPr>
        <w:t xml:space="preserve">w miastach </w:t>
      </w:r>
      <w:r w:rsidR="00A3346A">
        <w:rPr>
          <w:szCs w:val="19"/>
          <w:shd w:val="clear" w:color="auto" w:fill="FFFFFF"/>
        </w:rPr>
        <w:t>na koniec</w:t>
      </w:r>
      <w:r w:rsidR="00D7169F" w:rsidRPr="00D11CEF">
        <w:rPr>
          <w:szCs w:val="19"/>
          <w:shd w:val="clear" w:color="auto" w:fill="FFFFFF"/>
        </w:rPr>
        <w:t xml:space="preserve"> 20</w:t>
      </w:r>
      <w:r w:rsidR="000668E8">
        <w:rPr>
          <w:szCs w:val="19"/>
          <w:shd w:val="clear" w:color="auto" w:fill="FFFFFF"/>
        </w:rPr>
        <w:t>20</w:t>
      </w:r>
      <w:r w:rsidR="00D7169F" w:rsidRPr="00D11CEF">
        <w:rPr>
          <w:szCs w:val="19"/>
          <w:shd w:val="clear" w:color="auto" w:fill="FFFFFF"/>
        </w:rPr>
        <w:t xml:space="preserve"> r.</w:t>
      </w:r>
      <w:r w:rsidR="004234CE" w:rsidRPr="00D11CEF">
        <w:rPr>
          <w:szCs w:val="19"/>
          <w:shd w:val="clear" w:color="auto" w:fill="FFFFFF"/>
        </w:rPr>
        <w:t xml:space="preserve"> wzrosła o </w:t>
      </w:r>
      <w:r w:rsidR="0085236C">
        <w:rPr>
          <w:szCs w:val="19"/>
          <w:shd w:val="clear" w:color="auto" w:fill="FFFFFF"/>
        </w:rPr>
        <w:t>1</w:t>
      </w:r>
      <w:r w:rsidR="004234CE" w:rsidRPr="00D11CEF">
        <w:rPr>
          <w:szCs w:val="19"/>
          <w:shd w:val="clear" w:color="auto" w:fill="FFFFFF"/>
        </w:rPr>
        <w:t>,</w:t>
      </w:r>
      <w:r w:rsidR="0085236C">
        <w:rPr>
          <w:szCs w:val="19"/>
          <w:shd w:val="clear" w:color="auto" w:fill="FFFFFF"/>
        </w:rPr>
        <w:t>6</w:t>
      </w:r>
      <w:r w:rsidR="004234CE" w:rsidRPr="00D11CEF">
        <w:rPr>
          <w:szCs w:val="19"/>
          <w:shd w:val="clear" w:color="auto" w:fill="FFFFFF"/>
        </w:rPr>
        <w:t xml:space="preserve"> tys. km (</w:t>
      </w:r>
      <w:r w:rsidR="00D27063">
        <w:rPr>
          <w:szCs w:val="19"/>
          <w:shd w:val="clear" w:color="auto" w:fill="FFFFFF"/>
        </w:rPr>
        <w:t>o </w:t>
      </w:r>
      <w:r w:rsidR="00235937">
        <w:rPr>
          <w:szCs w:val="19"/>
          <w:shd w:val="clear" w:color="auto" w:fill="FFFFFF"/>
        </w:rPr>
        <w:t>2,</w:t>
      </w:r>
      <w:r w:rsidR="0085236C">
        <w:rPr>
          <w:szCs w:val="19"/>
          <w:shd w:val="clear" w:color="auto" w:fill="FFFFFF"/>
        </w:rPr>
        <w:t>6</w:t>
      </w:r>
      <w:r w:rsidR="00235937">
        <w:rPr>
          <w:szCs w:val="19"/>
          <w:shd w:val="clear" w:color="auto" w:fill="FFFFFF"/>
        </w:rPr>
        <w:t>%) i </w:t>
      </w:r>
      <w:r w:rsidR="004234CE" w:rsidRPr="00D11CEF">
        <w:rPr>
          <w:szCs w:val="19"/>
          <w:shd w:val="clear" w:color="auto" w:fill="FFFFFF"/>
        </w:rPr>
        <w:t>osiągnęła 6</w:t>
      </w:r>
      <w:r w:rsidR="00563DE6">
        <w:rPr>
          <w:szCs w:val="19"/>
          <w:shd w:val="clear" w:color="auto" w:fill="FFFFFF"/>
        </w:rPr>
        <w:t>3</w:t>
      </w:r>
      <w:r w:rsidR="004234CE" w:rsidRPr="00D11CEF">
        <w:rPr>
          <w:szCs w:val="19"/>
          <w:shd w:val="clear" w:color="auto" w:fill="FFFFFF"/>
        </w:rPr>
        <w:t>,</w:t>
      </w:r>
      <w:r w:rsidR="00563DE6">
        <w:rPr>
          <w:szCs w:val="19"/>
          <w:shd w:val="clear" w:color="auto" w:fill="FFFFFF"/>
        </w:rPr>
        <w:t>9</w:t>
      </w:r>
      <w:r w:rsidR="004234CE" w:rsidRPr="00D11CEF">
        <w:rPr>
          <w:szCs w:val="19"/>
          <w:shd w:val="clear" w:color="auto" w:fill="FFFFFF"/>
        </w:rPr>
        <w:t> tys. km, natomiast na obszarach wiejskich –</w:t>
      </w:r>
      <w:r w:rsidR="00D7169F" w:rsidRPr="00D11CEF">
        <w:rPr>
          <w:szCs w:val="19"/>
          <w:shd w:val="clear" w:color="auto" w:fill="FFFFFF"/>
        </w:rPr>
        <w:t xml:space="preserve"> o </w:t>
      </w:r>
      <w:r w:rsidR="0085236C">
        <w:rPr>
          <w:szCs w:val="19"/>
          <w:shd w:val="clear" w:color="auto" w:fill="FFFFFF"/>
        </w:rPr>
        <w:t>2</w:t>
      </w:r>
      <w:r w:rsidR="00D7169F" w:rsidRPr="00D11CEF">
        <w:rPr>
          <w:szCs w:val="19"/>
          <w:shd w:val="clear" w:color="auto" w:fill="FFFFFF"/>
        </w:rPr>
        <w:t>,</w:t>
      </w:r>
      <w:r w:rsidR="0085236C">
        <w:rPr>
          <w:szCs w:val="19"/>
          <w:shd w:val="clear" w:color="auto" w:fill="FFFFFF"/>
        </w:rPr>
        <w:t>2</w:t>
      </w:r>
      <w:r w:rsidR="00704A34" w:rsidRPr="00D11CEF">
        <w:rPr>
          <w:szCs w:val="19"/>
          <w:shd w:val="clear" w:color="auto" w:fill="FFFFFF"/>
        </w:rPr>
        <w:t xml:space="preserve"> tys. km (</w:t>
      </w:r>
      <w:r w:rsidR="00D27063">
        <w:rPr>
          <w:szCs w:val="19"/>
          <w:shd w:val="clear" w:color="auto" w:fill="FFFFFF"/>
        </w:rPr>
        <w:t xml:space="preserve">o </w:t>
      </w:r>
      <w:r w:rsidR="0085236C">
        <w:rPr>
          <w:szCs w:val="19"/>
          <w:shd w:val="clear" w:color="auto" w:fill="FFFFFF"/>
        </w:rPr>
        <w:t>3</w:t>
      </w:r>
      <w:r w:rsidR="00D7169F" w:rsidRPr="00D11CEF">
        <w:rPr>
          <w:szCs w:val="19"/>
          <w:shd w:val="clear" w:color="auto" w:fill="FFFFFF"/>
        </w:rPr>
        <w:t>,</w:t>
      </w:r>
      <w:r w:rsidR="0085236C">
        <w:rPr>
          <w:szCs w:val="19"/>
          <w:shd w:val="clear" w:color="auto" w:fill="FFFFFF"/>
        </w:rPr>
        <w:t>0</w:t>
      </w:r>
      <w:r w:rsidR="00D27063">
        <w:rPr>
          <w:szCs w:val="19"/>
          <w:shd w:val="clear" w:color="auto" w:fill="FFFFFF"/>
        </w:rPr>
        <w:t>%) i </w:t>
      </w:r>
      <w:r w:rsidR="00D7169F" w:rsidRPr="00D11CEF">
        <w:rPr>
          <w:szCs w:val="19"/>
          <w:shd w:val="clear" w:color="auto" w:fill="FFFFFF"/>
        </w:rPr>
        <w:t>wyniosła 7</w:t>
      </w:r>
      <w:r w:rsidR="00563DE6">
        <w:rPr>
          <w:szCs w:val="19"/>
          <w:shd w:val="clear" w:color="auto" w:fill="FFFFFF"/>
        </w:rPr>
        <w:t>6</w:t>
      </w:r>
      <w:r w:rsidR="00D7169F" w:rsidRPr="00D11CEF">
        <w:rPr>
          <w:szCs w:val="19"/>
          <w:shd w:val="clear" w:color="auto" w:fill="FFFFFF"/>
        </w:rPr>
        <w:t>,</w:t>
      </w:r>
      <w:r w:rsidR="00563DE6">
        <w:rPr>
          <w:szCs w:val="19"/>
          <w:shd w:val="clear" w:color="auto" w:fill="FFFFFF"/>
        </w:rPr>
        <w:t>5</w:t>
      </w:r>
      <w:r w:rsidR="004234CE" w:rsidRPr="00D11CEF">
        <w:rPr>
          <w:szCs w:val="19"/>
          <w:shd w:val="clear" w:color="auto" w:fill="FFFFFF"/>
        </w:rPr>
        <w:t xml:space="preserve"> tys. km.</w:t>
      </w:r>
    </w:p>
    <w:p w:rsidR="00D7169F" w:rsidRPr="00AB4891" w:rsidRDefault="00D7169F" w:rsidP="00D7169F">
      <w:pPr>
        <w:spacing w:before="0"/>
        <w:rPr>
          <w:szCs w:val="19"/>
          <w:shd w:val="clear" w:color="auto" w:fill="FFFFFF"/>
        </w:rPr>
      </w:pPr>
      <w:r w:rsidRPr="00D11CEF">
        <w:rPr>
          <w:szCs w:val="19"/>
          <w:shd w:val="clear" w:color="auto" w:fill="FFFFFF"/>
        </w:rPr>
        <w:t>Zużycie gazu z sieci przez gospodarstwa domowe w Polsce w 20</w:t>
      </w:r>
      <w:r w:rsidR="00583D2C">
        <w:rPr>
          <w:szCs w:val="19"/>
          <w:shd w:val="clear" w:color="auto" w:fill="FFFFFF"/>
        </w:rPr>
        <w:t>20</w:t>
      </w:r>
      <w:r w:rsidRPr="00D11CEF">
        <w:rPr>
          <w:szCs w:val="19"/>
          <w:shd w:val="clear" w:color="auto" w:fill="FFFFFF"/>
        </w:rPr>
        <w:t xml:space="preserve"> r. w porównaniu do 201</w:t>
      </w:r>
      <w:r w:rsidR="00583D2C">
        <w:rPr>
          <w:szCs w:val="19"/>
          <w:shd w:val="clear" w:color="auto" w:fill="FFFFFF"/>
        </w:rPr>
        <w:t>9</w:t>
      </w:r>
      <w:r w:rsidRPr="00D11CEF">
        <w:rPr>
          <w:szCs w:val="19"/>
          <w:shd w:val="clear" w:color="auto" w:fill="FFFFFF"/>
        </w:rPr>
        <w:t xml:space="preserve"> r. </w:t>
      </w:r>
      <w:r w:rsidR="008044CA" w:rsidRPr="00D11CEF">
        <w:rPr>
          <w:szCs w:val="19"/>
          <w:shd w:val="clear" w:color="auto" w:fill="FFFFFF"/>
        </w:rPr>
        <w:t>wzrosło</w:t>
      </w:r>
      <w:r w:rsidRPr="00D11CEF">
        <w:rPr>
          <w:szCs w:val="19"/>
          <w:shd w:val="clear" w:color="auto" w:fill="FFFFFF"/>
        </w:rPr>
        <w:t xml:space="preserve"> o </w:t>
      </w:r>
      <w:r w:rsidR="00583D2C">
        <w:rPr>
          <w:szCs w:val="19"/>
          <w:shd w:val="clear" w:color="auto" w:fill="FFFFFF"/>
        </w:rPr>
        <w:t>5</w:t>
      </w:r>
      <w:r w:rsidR="00DB1B88" w:rsidRPr="00D11CEF">
        <w:rPr>
          <w:szCs w:val="19"/>
          <w:shd w:val="clear" w:color="auto" w:fill="FFFFFF"/>
        </w:rPr>
        <w:t>,</w:t>
      </w:r>
      <w:r w:rsidR="00583D2C">
        <w:rPr>
          <w:szCs w:val="19"/>
          <w:shd w:val="clear" w:color="auto" w:fill="FFFFFF"/>
        </w:rPr>
        <w:t>1</w:t>
      </w:r>
      <w:r w:rsidRPr="00D11CEF">
        <w:rPr>
          <w:szCs w:val="19"/>
          <w:shd w:val="clear" w:color="auto" w:fill="FFFFFF"/>
        </w:rPr>
        <w:t xml:space="preserve">% przy równoczesnym wzroście liczby odbiorców o </w:t>
      </w:r>
      <w:r w:rsidR="00CF72EF">
        <w:rPr>
          <w:szCs w:val="19"/>
          <w:shd w:val="clear" w:color="auto" w:fill="FFFFFF"/>
        </w:rPr>
        <w:t>4</w:t>
      </w:r>
      <w:r w:rsidRPr="00D11CEF">
        <w:rPr>
          <w:szCs w:val="19"/>
          <w:shd w:val="clear" w:color="auto" w:fill="FFFFFF"/>
        </w:rPr>
        <w:t>,</w:t>
      </w:r>
      <w:r w:rsidR="00CF72EF">
        <w:rPr>
          <w:szCs w:val="19"/>
          <w:shd w:val="clear" w:color="auto" w:fill="FFFFFF"/>
        </w:rPr>
        <w:t>8</w:t>
      </w:r>
      <w:r w:rsidRPr="00D11CEF">
        <w:rPr>
          <w:szCs w:val="19"/>
          <w:shd w:val="clear" w:color="auto" w:fill="FFFFFF"/>
        </w:rPr>
        <w:t xml:space="preserve">%. W miastach nastąpił </w:t>
      </w:r>
      <w:r w:rsidR="00D445F0" w:rsidRPr="00D11CEF">
        <w:rPr>
          <w:szCs w:val="19"/>
          <w:shd w:val="clear" w:color="auto" w:fill="FFFFFF"/>
        </w:rPr>
        <w:t>wzrost</w:t>
      </w:r>
      <w:r w:rsidRPr="00D11CEF">
        <w:rPr>
          <w:szCs w:val="19"/>
          <w:shd w:val="clear" w:color="auto" w:fill="FFFFFF"/>
        </w:rPr>
        <w:t xml:space="preserve"> zużycia gazu o </w:t>
      </w:r>
      <w:r w:rsidR="00CF72EF">
        <w:rPr>
          <w:szCs w:val="19"/>
          <w:shd w:val="clear" w:color="auto" w:fill="FFFFFF"/>
        </w:rPr>
        <w:t>3</w:t>
      </w:r>
      <w:r w:rsidR="00D20998" w:rsidRPr="00D11CEF">
        <w:rPr>
          <w:szCs w:val="19"/>
          <w:shd w:val="clear" w:color="auto" w:fill="FFFFFF"/>
        </w:rPr>
        <w:t>,</w:t>
      </w:r>
      <w:r w:rsidR="00CF72EF">
        <w:rPr>
          <w:szCs w:val="19"/>
          <w:shd w:val="clear" w:color="auto" w:fill="FFFFFF"/>
        </w:rPr>
        <w:t>3</w:t>
      </w:r>
      <w:r w:rsidR="000971D6" w:rsidRPr="00D11CEF">
        <w:rPr>
          <w:szCs w:val="19"/>
          <w:shd w:val="clear" w:color="auto" w:fill="FFFFFF"/>
        </w:rPr>
        <w:t>%</w:t>
      </w:r>
      <w:r w:rsidR="000235AB" w:rsidRPr="00D11CEF">
        <w:rPr>
          <w:szCs w:val="19"/>
          <w:shd w:val="clear" w:color="auto" w:fill="FFFFFF"/>
        </w:rPr>
        <w:t xml:space="preserve"> przy wzro</w:t>
      </w:r>
      <w:r w:rsidR="004829B5" w:rsidRPr="00D11CEF">
        <w:rPr>
          <w:szCs w:val="19"/>
          <w:shd w:val="clear" w:color="auto" w:fill="FFFFFF"/>
        </w:rPr>
        <w:t>ś</w:t>
      </w:r>
      <w:r w:rsidRPr="00D11CEF">
        <w:rPr>
          <w:szCs w:val="19"/>
          <w:shd w:val="clear" w:color="auto" w:fill="FFFFFF"/>
        </w:rPr>
        <w:t xml:space="preserve">cie liczby odbiorców o </w:t>
      </w:r>
      <w:r w:rsidR="00CF72EF">
        <w:rPr>
          <w:szCs w:val="19"/>
          <w:shd w:val="clear" w:color="auto" w:fill="FFFFFF"/>
        </w:rPr>
        <w:t>3</w:t>
      </w:r>
      <w:r w:rsidRPr="00D11CEF">
        <w:rPr>
          <w:szCs w:val="19"/>
          <w:shd w:val="clear" w:color="auto" w:fill="FFFFFF"/>
        </w:rPr>
        <w:t>,</w:t>
      </w:r>
      <w:r w:rsidR="00CF72EF">
        <w:rPr>
          <w:szCs w:val="19"/>
          <w:shd w:val="clear" w:color="auto" w:fill="FFFFFF"/>
        </w:rPr>
        <w:t>7</w:t>
      </w:r>
      <w:r w:rsidRPr="00D11CEF">
        <w:rPr>
          <w:szCs w:val="19"/>
          <w:shd w:val="clear" w:color="auto" w:fill="FFFFFF"/>
        </w:rPr>
        <w:t>%.</w:t>
      </w:r>
      <w:r w:rsidRPr="00D20998">
        <w:rPr>
          <w:szCs w:val="19"/>
          <w:shd w:val="clear" w:color="auto" w:fill="FFFFFF"/>
        </w:rPr>
        <w:t xml:space="preserve"> Na obszarach wiejskich odnotowano wzrost zużycia gazu o </w:t>
      </w:r>
      <w:r w:rsidR="00CF72EF">
        <w:rPr>
          <w:szCs w:val="19"/>
          <w:shd w:val="clear" w:color="auto" w:fill="FFFFFF"/>
        </w:rPr>
        <w:t>10</w:t>
      </w:r>
      <w:r w:rsidR="00D20998" w:rsidRPr="00D20998">
        <w:rPr>
          <w:szCs w:val="19"/>
          <w:shd w:val="clear" w:color="auto" w:fill="FFFFFF"/>
        </w:rPr>
        <w:t>,</w:t>
      </w:r>
      <w:r w:rsidR="00A74B0E">
        <w:rPr>
          <w:szCs w:val="19"/>
          <w:shd w:val="clear" w:color="auto" w:fill="FFFFFF"/>
        </w:rPr>
        <w:t>6</w:t>
      </w:r>
      <w:r w:rsidRPr="00D20998">
        <w:rPr>
          <w:szCs w:val="19"/>
          <w:shd w:val="clear" w:color="auto" w:fill="FFFFFF"/>
        </w:rPr>
        <w:t xml:space="preserve">%, </w:t>
      </w:r>
      <w:r w:rsidR="001843EE">
        <w:rPr>
          <w:szCs w:val="19"/>
          <w:shd w:val="clear" w:color="auto" w:fill="FFFFFF"/>
        </w:rPr>
        <w:t>podczas gdy</w:t>
      </w:r>
      <w:r w:rsidRPr="00D20998">
        <w:rPr>
          <w:szCs w:val="19"/>
          <w:shd w:val="clear" w:color="auto" w:fill="FFFFFF"/>
        </w:rPr>
        <w:t xml:space="preserve"> liczba odbiorców zwiększyła się o</w:t>
      </w:r>
      <w:r w:rsidR="001843EE">
        <w:rPr>
          <w:szCs w:val="19"/>
          <w:shd w:val="clear" w:color="auto" w:fill="FFFFFF"/>
        </w:rPr>
        <w:t> </w:t>
      </w:r>
      <w:r w:rsidR="00CF72EF">
        <w:rPr>
          <w:szCs w:val="19"/>
          <w:shd w:val="clear" w:color="auto" w:fill="FFFFFF"/>
        </w:rPr>
        <w:t>11</w:t>
      </w:r>
      <w:r w:rsidR="00D20998" w:rsidRPr="00D20998">
        <w:rPr>
          <w:szCs w:val="19"/>
          <w:shd w:val="clear" w:color="auto" w:fill="FFFFFF"/>
        </w:rPr>
        <w:t>,</w:t>
      </w:r>
      <w:r w:rsidR="00CF72EF">
        <w:rPr>
          <w:szCs w:val="19"/>
          <w:shd w:val="clear" w:color="auto" w:fill="FFFFFF"/>
        </w:rPr>
        <w:t>6</w:t>
      </w:r>
      <w:r w:rsidRPr="00D20998">
        <w:rPr>
          <w:szCs w:val="19"/>
          <w:shd w:val="clear" w:color="auto" w:fill="FFFFFF"/>
        </w:rPr>
        <w:t>%.</w:t>
      </w:r>
    </w:p>
    <w:p w:rsidR="00D7169F" w:rsidRPr="00AB4891" w:rsidRDefault="00D7169F" w:rsidP="00D7169F">
      <w:pPr>
        <w:spacing w:before="0"/>
        <w:rPr>
          <w:strike/>
          <w:szCs w:val="19"/>
          <w:shd w:val="clear" w:color="auto" w:fill="FFFFFF"/>
        </w:rPr>
      </w:pPr>
      <w:r w:rsidRPr="00845B64">
        <w:rPr>
          <w:szCs w:val="19"/>
          <w:shd w:val="clear" w:color="auto" w:fill="FFFFFF"/>
        </w:rPr>
        <w:t>W porównaniu do 201</w:t>
      </w:r>
      <w:r w:rsidR="00D7214B">
        <w:rPr>
          <w:szCs w:val="19"/>
          <w:shd w:val="clear" w:color="auto" w:fill="FFFFFF"/>
        </w:rPr>
        <w:t>9</w:t>
      </w:r>
      <w:r w:rsidRPr="00845B64">
        <w:rPr>
          <w:szCs w:val="19"/>
          <w:shd w:val="clear" w:color="auto" w:fill="FFFFFF"/>
        </w:rPr>
        <w:t xml:space="preserve"> r. zużycie gazu z sieci </w:t>
      </w:r>
      <w:r w:rsidR="005258B2">
        <w:rPr>
          <w:szCs w:val="19"/>
          <w:shd w:val="clear" w:color="auto" w:fill="FFFFFF"/>
        </w:rPr>
        <w:t>wzrosło</w:t>
      </w:r>
      <w:r w:rsidRPr="00845B64">
        <w:rPr>
          <w:szCs w:val="19"/>
          <w:shd w:val="clear" w:color="auto" w:fill="FFFFFF"/>
        </w:rPr>
        <w:t xml:space="preserve"> </w:t>
      </w:r>
      <w:r w:rsidRPr="002A49B6">
        <w:rPr>
          <w:szCs w:val="19"/>
          <w:shd w:val="clear" w:color="auto" w:fill="FFFFFF"/>
        </w:rPr>
        <w:t xml:space="preserve">o </w:t>
      </w:r>
      <w:r w:rsidR="00CC2C5C">
        <w:rPr>
          <w:szCs w:val="19"/>
          <w:shd w:val="clear" w:color="auto" w:fill="FFFFFF"/>
        </w:rPr>
        <w:t>2</w:t>
      </w:r>
      <w:r w:rsidR="00CC2C5C">
        <w:t> 438</w:t>
      </w:r>
      <w:r w:rsidR="00845B64" w:rsidRPr="002A49B6">
        <w:rPr>
          <w:szCs w:val="19"/>
          <w:shd w:val="clear" w:color="auto" w:fill="FFFFFF"/>
        </w:rPr>
        <w:t>,</w:t>
      </w:r>
      <w:r w:rsidR="00CC2C5C">
        <w:rPr>
          <w:szCs w:val="19"/>
          <w:shd w:val="clear" w:color="auto" w:fill="FFFFFF"/>
        </w:rPr>
        <w:t>0</w:t>
      </w:r>
      <w:r w:rsidRPr="002A49B6">
        <w:rPr>
          <w:szCs w:val="19"/>
          <w:shd w:val="clear" w:color="auto" w:fill="FFFFFF"/>
        </w:rPr>
        <w:t xml:space="preserve"> </w:t>
      </w:r>
      <w:proofErr w:type="spellStart"/>
      <w:r w:rsidRPr="002A49B6">
        <w:rPr>
          <w:szCs w:val="19"/>
          <w:shd w:val="clear" w:color="auto" w:fill="FFFFFF"/>
        </w:rPr>
        <w:t>GWh</w:t>
      </w:r>
      <w:proofErr w:type="spellEnd"/>
      <w:r w:rsidRPr="00845B64">
        <w:rPr>
          <w:szCs w:val="19"/>
          <w:shd w:val="clear" w:color="auto" w:fill="FFFFFF"/>
        </w:rPr>
        <w:t xml:space="preserve"> i wyniosło 6 </w:t>
      </w:r>
      <w:r w:rsidR="005258B2">
        <w:rPr>
          <w:szCs w:val="19"/>
          <w:shd w:val="clear" w:color="auto" w:fill="FFFFFF"/>
        </w:rPr>
        <w:t>0</w:t>
      </w:r>
      <w:r w:rsidR="00D7214B">
        <w:rPr>
          <w:szCs w:val="19"/>
          <w:shd w:val="clear" w:color="auto" w:fill="FFFFFF"/>
        </w:rPr>
        <w:t>31</w:t>
      </w:r>
      <w:r w:rsidRPr="00845B64">
        <w:rPr>
          <w:szCs w:val="19"/>
          <w:shd w:val="clear" w:color="auto" w:fill="FFFFFF"/>
        </w:rPr>
        <w:t xml:space="preserve"> kWh</w:t>
      </w:r>
      <w:r w:rsidRPr="00845B64">
        <w:rPr>
          <w:szCs w:val="19"/>
          <w:shd w:val="clear" w:color="auto" w:fill="FFFFFF"/>
          <w:vertAlign w:val="superscript"/>
        </w:rPr>
        <w:t xml:space="preserve"> </w:t>
      </w:r>
      <w:r w:rsidRPr="00845B64">
        <w:rPr>
          <w:szCs w:val="19"/>
          <w:shd w:val="clear" w:color="auto" w:fill="FFFFFF"/>
        </w:rPr>
        <w:t>na 1 odbiorcę, przy czym w miastach wyniosło 5</w:t>
      </w:r>
      <w:r w:rsidR="00845B64" w:rsidRPr="00845B64">
        <w:rPr>
          <w:szCs w:val="19"/>
          <w:shd w:val="clear" w:color="auto" w:fill="FFFFFF"/>
        </w:rPr>
        <w:t> </w:t>
      </w:r>
      <w:r w:rsidR="005258B2">
        <w:rPr>
          <w:szCs w:val="19"/>
          <w:shd w:val="clear" w:color="auto" w:fill="FFFFFF"/>
        </w:rPr>
        <w:t>2</w:t>
      </w:r>
      <w:r w:rsidR="00D7214B">
        <w:rPr>
          <w:szCs w:val="19"/>
          <w:shd w:val="clear" w:color="auto" w:fill="FFFFFF"/>
        </w:rPr>
        <w:t>60</w:t>
      </w:r>
      <w:r w:rsidRPr="00845B64">
        <w:rPr>
          <w:szCs w:val="19"/>
          <w:shd w:val="clear" w:color="auto" w:fill="FFFFFF"/>
        </w:rPr>
        <w:t xml:space="preserve"> kWh</w:t>
      </w:r>
      <w:r w:rsidR="005258B2">
        <w:rPr>
          <w:szCs w:val="19"/>
          <w:shd w:val="clear" w:color="auto" w:fill="FFFFFF"/>
        </w:rPr>
        <w:t xml:space="preserve"> na 1 odbiorcę</w:t>
      </w:r>
      <w:r w:rsidRPr="00845B64">
        <w:rPr>
          <w:szCs w:val="19"/>
          <w:shd w:val="clear" w:color="auto" w:fill="FFFFFF"/>
        </w:rPr>
        <w:t xml:space="preserve">, a na </w:t>
      </w:r>
      <w:r w:rsidR="00A3346A">
        <w:rPr>
          <w:szCs w:val="19"/>
          <w:shd w:val="clear" w:color="auto" w:fill="FFFFFF"/>
        </w:rPr>
        <w:t>obszarach</w:t>
      </w:r>
      <w:r w:rsidRPr="00845B64">
        <w:rPr>
          <w:szCs w:val="19"/>
          <w:shd w:val="clear" w:color="auto" w:fill="FFFFFF"/>
        </w:rPr>
        <w:t xml:space="preserve"> wiejskich – 10 </w:t>
      </w:r>
      <w:r w:rsidR="00D7214B">
        <w:rPr>
          <w:szCs w:val="19"/>
          <w:shd w:val="clear" w:color="auto" w:fill="FFFFFF"/>
        </w:rPr>
        <w:t>235</w:t>
      </w:r>
      <w:r w:rsidRPr="00845B64">
        <w:rPr>
          <w:szCs w:val="19"/>
          <w:shd w:val="clear" w:color="auto" w:fill="FFFFFF"/>
        </w:rPr>
        <w:t> kWh</w:t>
      </w:r>
      <w:r w:rsidR="005258B2">
        <w:rPr>
          <w:szCs w:val="19"/>
          <w:shd w:val="clear" w:color="auto" w:fill="FFFFFF"/>
        </w:rPr>
        <w:t xml:space="preserve"> na 1 odbiorcę</w:t>
      </w:r>
      <w:r w:rsidRPr="00845B64">
        <w:rPr>
          <w:szCs w:val="19"/>
          <w:shd w:val="clear" w:color="auto" w:fill="FFFFFF"/>
        </w:rPr>
        <w:t>.</w:t>
      </w:r>
      <w:r w:rsidRPr="00AB4891">
        <w:rPr>
          <w:szCs w:val="19"/>
          <w:shd w:val="clear" w:color="auto" w:fill="FFFFFF"/>
        </w:rPr>
        <w:t xml:space="preserve"> </w:t>
      </w:r>
    </w:p>
    <w:p w:rsidR="00BD6EB6" w:rsidRDefault="00BD6EB6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</w:p>
    <w:p w:rsidR="005C1CA4" w:rsidRDefault="005C1CA4" w:rsidP="00D7169F">
      <w:pPr>
        <w:rPr>
          <w:b/>
          <w:sz w:val="18"/>
          <w:szCs w:val="18"/>
          <w:shd w:val="clear" w:color="auto" w:fill="FFFFFF"/>
        </w:rPr>
      </w:pPr>
    </w:p>
    <w:p w:rsidR="00D7169F" w:rsidRDefault="00D7169F" w:rsidP="00D7169F">
      <w:pPr>
        <w:rPr>
          <w:b/>
          <w:sz w:val="18"/>
          <w:szCs w:val="18"/>
          <w:shd w:val="clear" w:color="auto" w:fill="FFFFFF"/>
        </w:rPr>
      </w:pPr>
      <w:r w:rsidRPr="00E52ED1">
        <w:rPr>
          <w:b/>
          <w:sz w:val="18"/>
          <w:szCs w:val="18"/>
          <w:shd w:val="clear" w:color="auto" w:fill="FFFFFF"/>
        </w:rPr>
        <w:lastRenderedPageBreak/>
        <w:t xml:space="preserve">Wykres </w:t>
      </w:r>
      <w:r w:rsidRPr="001022EA">
        <w:rPr>
          <w:b/>
          <w:sz w:val="18"/>
          <w:szCs w:val="18"/>
          <w:shd w:val="clear" w:color="auto" w:fill="FFFFFF"/>
        </w:rPr>
        <w:t xml:space="preserve">1. </w:t>
      </w:r>
      <w:r>
        <w:rPr>
          <w:b/>
          <w:sz w:val="18"/>
          <w:szCs w:val="18"/>
          <w:shd w:val="clear" w:color="auto" w:fill="FFFFFF"/>
        </w:rPr>
        <w:t xml:space="preserve">Zużycie gazu z sieci </w:t>
      </w:r>
      <w:r w:rsidR="00444813">
        <w:rPr>
          <w:b/>
          <w:sz w:val="18"/>
          <w:szCs w:val="18"/>
          <w:shd w:val="clear" w:color="auto" w:fill="FFFFFF"/>
        </w:rPr>
        <w:t>w gospodarstwach domowych</w:t>
      </w:r>
      <w:r w:rsidR="00444813" w:rsidRPr="001022EA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na 1 mieszkańca w 20</w:t>
      </w:r>
      <w:r w:rsidR="00F75718">
        <w:rPr>
          <w:b/>
          <w:sz w:val="18"/>
          <w:szCs w:val="18"/>
          <w:shd w:val="clear" w:color="auto" w:fill="FFFFFF"/>
        </w:rPr>
        <w:t>20</w:t>
      </w:r>
      <w:r>
        <w:rPr>
          <w:b/>
          <w:sz w:val="18"/>
          <w:szCs w:val="18"/>
          <w:shd w:val="clear" w:color="auto" w:fill="FFFFFF"/>
        </w:rPr>
        <w:t xml:space="preserve"> r. </w:t>
      </w:r>
    </w:p>
    <w:p w:rsidR="00D7169F" w:rsidRDefault="00D7169F" w:rsidP="00D7169F">
      <w:pPr>
        <w:rPr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73952" behindDoc="0" locked="0" layoutInCell="1" allowOverlap="1" wp14:anchorId="4E8BD828" wp14:editId="172CAB17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5124450" cy="3631223"/>
            <wp:effectExtent l="0" t="0" r="0" b="7620"/>
            <wp:wrapNone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B8333D" w:rsidRDefault="00B8333D" w:rsidP="00D7169F">
      <w:pPr>
        <w:pStyle w:val="Nagwek1"/>
        <w:spacing w:before="120" w:line="240" w:lineRule="exact"/>
        <w:rPr>
          <w:rFonts w:ascii="Fira Sans" w:hAnsi="Fira Sans"/>
          <w:b/>
        </w:rPr>
      </w:pPr>
    </w:p>
    <w:p w:rsidR="00D7169F" w:rsidRPr="00D74CA0" w:rsidRDefault="009721DB" w:rsidP="00D7169F">
      <w:pPr>
        <w:pStyle w:val="Nagwek1"/>
        <w:spacing w:before="120" w:line="240" w:lineRule="exact"/>
      </w:pPr>
      <w:r w:rsidRPr="00D74CA0">
        <w:rPr>
          <w:b/>
          <w:noProof/>
          <w:color w:val="212492"/>
          <w:spacing w:val="-2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51CEE116" wp14:editId="01349589">
                <wp:simplePos x="0" y="0"/>
                <wp:positionH relativeFrom="page">
                  <wp:posOffset>5671433</wp:posOffset>
                </wp:positionH>
                <wp:positionV relativeFrom="paragraph">
                  <wp:posOffset>72693</wp:posOffset>
                </wp:positionV>
                <wp:extent cx="1757045" cy="1009650"/>
                <wp:effectExtent l="0" t="0" r="0" b="0"/>
                <wp:wrapTight wrapText="bothSides">
                  <wp:wrapPolygon edited="0">
                    <wp:start x="703" y="0"/>
                    <wp:lineTo x="703" y="21192"/>
                    <wp:lineTo x="20843" y="21192"/>
                    <wp:lineTo x="20843" y="0"/>
                    <wp:lineTo x="703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3D2" w:rsidRPr="008D3A4B" w:rsidRDefault="008E53D2" w:rsidP="00D7169F">
                            <w:pPr>
                              <w:pStyle w:val="tekstzboku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 xml:space="preserve">W 2020 r. zużycie energii elektrycznej na 1 odbiorcę </w:t>
                            </w:r>
                            <w:r>
                              <w:br/>
                              <w:t>w gospodarstwach domowych wzrosło o 1,6% w porównaniu do 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E116" id="_x0000_s1029" type="#_x0000_t202" style="position:absolute;margin-left:446.55pt;margin-top:5.7pt;width:138.35pt;height:79.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" filled="f" stroked="f">
                <v:textbox>
                  <w:txbxContent>
                    <w:p w:rsidR="008E53D2" w:rsidRPr="008D3A4B" w:rsidRDefault="008E53D2" w:rsidP="00D7169F">
                      <w:pPr>
                        <w:pStyle w:val="tekstzboku"/>
                        <w:rPr>
                          <w:rFonts w:ascii="Calibri" w:hAnsi="Calibri" w:cs="Calibri"/>
                        </w:rPr>
                      </w:pPr>
                      <w:r>
                        <w:t xml:space="preserve">W 2020 r. zużycie energii elektrycznej na 1 odbiorcę </w:t>
                      </w:r>
                      <w:r>
                        <w:br/>
                        <w:t>w gospodarstwach domowych wzrosło o 1,6% w porównaniu do poprzedniego roku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7169F" w:rsidRPr="00D74CA0">
        <w:rPr>
          <w:rFonts w:ascii="Fira Sans" w:hAnsi="Fira Sans"/>
          <w:b/>
        </w:rPr>
        <w:t>Zużycie energii elektrycznej w gospodarstwach domowych</w:t>
      </w:r>
    </w:p>
    <w:p w:rsidR="00DB63F2" w:rsidRDefault="00DB63F2" w:rsidP="00D7169F">
      <w:r>
        <w:t xml:space="preserve">W </w:t>
      </w:r>
      <w:r w:rsidR="00CC40F9">
        <w:t>2020</w:t>
      </w:r>
      <w:r>
        <w:t xml:space="preserve"> r. zużycie energii elektrycznej w gospodarstwach domowych w </w:t>
      </w:r>
      <w:r w:rsidR="00956C15">
        <w:t xml:space="preserve">miastach w </w:t>
      </w:r>
      <w:r>
        <w:t xml:space="preserve">Polsce </w:t>
      </w:r>
      <w:r w:rsidR="00CC40F9">
        <w:t>wzrosło</w:t>
      </w:r>
      <w:r>
        <w:t xml:space="preserve"> o </w:t>
      </w:r>
      <w:r w:rsidR="00CC40F9">
        <w:t>3,1</w:t>
      </w:r>
      <w:r>
        <w:t>% w porównaniu do 201</w:t>
      </w:r>
      <w:r w:rsidR="00CC40F9">
        <w:t>9</w:t>
      </w:r>
      <w:r w:rsidR="002B34E1">
        <w:t xml:space="preserve"> r.</w:t>
      </w:r>
      <w:r>
        <w:t xml:space="preserve"> i wyniosło </w:t>
      </w:r>
      <w:r w:rsidR="00CC40F9">
        <w:t>18</w:t>
      </w:r>
      <w:r w:rsidR="00867BAA">
        <w:t> </w:t>
      </w:r>
      <w:r w:rsidR="00CC40F9">
        <w:t>499</w:t>
      </w:r>
      <w:r>
        <w:t xml:space="preserve"> </w:t>
      </w:r>
      <w:proofErr w:type="spellStart"/>
      <w:r>
        <w:t>GWh</w:t>
      </w:r>
      <w:proofErr w:type="spellEnd"/>
      <w:r>
        <w:t>, przy wzroście liczby odbiorców (gospodarstw domowych) o 1,5%.</w:t>
      </w:r>
    </w:p>
    <w:p w:rsidR="001A29A6" w:rsidRDefault="001A29A6" w:rsidP="00D7169F"/>
    <w:p w:rsidR="00BA6751" w:rsidRDefault="00BA6751" w:rsidP="00BA6751">
      <w:pPr>
        <w:spacing w:before="0" w:after="0"/>
        <w:rPr>
          <w:b/>
          <w:spacing w:val="-2"/>
          <w:sz w:val="18"/>
        </w:rPr>
      </w:pPr>
      <w:r w:rsidRPr="007A38B8">
        <w:rPr>
          <w:b/>
          <w:spacing w:val="-2"/>
          <w:sz w:val="18"/>
        </w:rPr>
        <w:t xml:space="preserve">Tablica </w:t>
      </w:r>
      <w:r>
        <w:rPr>
          <w:b/>
          <w:spacing w:val="-2"/>
          <w:sz w:val="18"/>
        </w:rPr>
        <w:t>2</w:t>
      </w:r>
      <w:r w:rsidRPr="007A38B8">
        <w:rPr>
          <w:b/>
          <w:spacing w:val="-2"/>
          <w:sz w:val="18"/>
        </w:rPr>
        <w:t xml:space="preserve">. </w:t>
      </w:r>
      <w:r>
        <w:rPr>
          <w:b/>
          <w:spacing w:val="-2"/>
          <w:sz w:val="18"/>
        </w:rPr>
        <w:t>Odbiorcy oraz zużycie energii elektrycznej w gospodarstwach domowych</w:t>
      </w:r>
    </w:p>
    <w:p w:rsidR="00BA6751" w:rsidRPr="00F458CE" w:rsidRDefault="00BA6751" w:rsidP="00BA6751">
      <w:pPr>
        <w:spacing w:before="0" w:after="0"/>
        <w:rPr>
          <w:sz w:val="12"/>
          <w:szCs w:val="12"/>
          <w:shd w:val="clear" w:color="auto" w:fill="FFFFFF"/>
        </w:rPr>
      </w:pPr>
    </w:p>
    <w:tbl>
      <w:tblPr>
        <w:tblW w:w="787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935"/>
        <w:gridCol w:w="911"/>
        <w:gridCol w:w="933"/>
        <w:gridCol w:w="910"/>
      </w:tblGrid>
      <w:tr w:rsidR="00523E9D" w:rsidRPr="0038453C" w:rsidTr="00523E9D">
        <w:trPr>
          <w:trHeight w:val="315"/>
        </w:trPr>
        <w:tc>
          <w:tcPr>
            <w:tcW w:w="4189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523E9D" w:rsidRPr="0038453C" w:rsidRDefault="00523E9D" w:rsidP="00523E9D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935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523E9D" w:rsidRPr="0038453C" w:rsidRDefault="00523E9D" w:rsidP="00523E9D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11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523E9D" w:rsidRPr="0038453C" w:rsidRDefault="00523E9D" w:rsidP="00523E9D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8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33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523E9D" w:rsidRPr="0038453C" w:rsidRDefault="00523E9D" w:rsidP="00523E9D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1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523E9D" w:rsidRPr="0038453C" w:rsidRDefault="00523E9D" w:rsidP="00523E9D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9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19528D" w:rsidRPr="0019528D" w:rsidTr="00523E9D">
        <w:trPr>
          <w:trHeight w:val="821"/>
        </w:trPr>
        <w:tc>
          <w:tcPr>
            <w:tcW w:w="418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Zużycie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energii elektrycznej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(w ciągu roku) w </w:t>
            </w:r>
            <w:proofErr w:type="spellStart"/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GWh</w:t>
            </w:r>
            <w:proofErr w:type="spellEnd"/>
          </w:p>
          <w:p w:rsidR="00523E9D" w:rsidRDefault="00523E9D" w:rsidP="00523E9D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523E9D" w:rsidRPr="00D11CEF" w:rsidRDefault="00523E9D" w:rsidP="00523E9D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35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613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17 936,0</w:t>
            </w:r>
          </w:p>
          <w:p w:rsidR="00523E9D" w:rsidRPr="00D11CEF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12 677,1</w:t>
            </w:r>
          </w:p>
        </w:tc>
        <w:tc>
          <w:tcPr>
            <w:tcW w:w="911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99,9</w:t>
            </w:r>
          </w:p>
          <w:p w:rsidR="00523E9D" w:rsidRPr="00D11CEF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33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Pr="00590FCC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534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  <w:p w:rsidR="00523E9D" w:rsidRPr="00590FCC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499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,0</w:t>
            </w:r>
          </w:p>
          <w:p w:rsidR="00523E9D" w:rsidRPr="00590FCC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035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1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Pr="0019528D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19528D" w:rsidRPr="0019528D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9528D" w:rsidRPr="0019528D">
              <w:rPr>
                <w:rFonts w:eastAsia="Times New Roman" w:cs="Calibri"/>
                <w:sz w:val="16"/>
                <w:szCs w:val="16"/>
                <w:lang w:eastAsia="pl-PL"/>
              </w:rPr>
              <w:t>0</w:t>
            </w:r>
          </w:p>
          <w:p w:rsidR="00523E9D" w:rsidRPr="0019528D" w:rsidRDefault="0019528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103</w:t>
            </w:r>
            <w:r w:rsidR="00523E9D" w:rsidRPr="0019528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  <w:p w:rsidR="00523E9D" w:rsidRPr="0019528D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19528D" w:rsidRPr="0019528D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9528D" w:rsidRPr="0019528D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</w:tr>
      <w:tr w:rsidR="0019528D" w:rsidRPr="0019528D" w:rsidTr="00523E9D">
        <w:trPr>
          <w:trHeight w:val="826"/>
        </w:trPr>
        <w:tc>
          <w:tcPr>
            <w:tcW w:w="418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Odbiorcy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energii elektrycznej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w tys. (stan na 31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grudnia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  <w:p w:rsidR="00523E9D" w:rsidRDefault="00523E9D" w:rsidP="00523E9D">
            <w:pPr>
              <w:spacing w:before="0" w:after="0"/>
              <w:ind w:left="168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523E9D" w:rsidRPr="00D11CEF" w:rsidRDefault="00523E9D" w:rsidP="00523E9D">
            <w:pPr>
              <w:spacing w:before="0" w:after="0"/>
              <w:ind w:left="154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35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15 588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10 400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5 188</w:t>
            </w:r>
          </w:p>
        </w:tc>
        <w:tc>
          <w:tcPr>
            <w:tcW w:w="911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101,5</w:t>
            </w:r>
          </w:p>
          <w:p w:rsidR="00523E9D" w:rsidRPr="00D11CEF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33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Pr="00590FCC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15 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799</w:t>
            </w:r>
          </w:p>
          <w:p w:rsidR="00523E9D" w:rsidRPr="00590FCC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10 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556</w:t>
            </w:r>
          </w:p>
          <w:p w:rsidR="00523E9D" w:rsidRPr="00590FCC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5 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91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Pr="0019528D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101,</w:t>
            </w:r>
            <w:r w:rsidR="0019528D" w:rsidRPr="0019528D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  <w:p w:rsidR="00523E9D" w:rsidRPr="0019528D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101,5</w:t>
            </w:r>
          </w:p>
          <w:p w:rsidR="00523E9D" w:rsidRPr="0019528D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19528D" w:rsidRPr="0019528D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Pr="0019528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9528D" w:rsidRPr="0019528D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</w:tr>
      <w:tr w:rsidR="00D52C90" w:rsidRPr="00D52C90" w:rsidTr="00523E9D">
        <w:trPr>
          <w:trHeight w:val="985"/>
        </w:trPr>
        <w:tc>
          <w:tcPr>
            <w:tcW w:w="4189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Zuży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cie energii elektrycznej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(w ciągu roku) na 1 odbiorcę w k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Wh</w:t>
            </w:r>
          </w:p>
          <w:p w:rsidR="00523E9D" w:rsidRDefault="00523E9D" w:rsidP="00523E9D">
            <w:pPr>
              <w:spacing w:before="0" w:after="0"/>
              <w:ind w:left="214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523E9D" w:rsidRPr="00D11CEF" w:rsidRDefault="00523E9D" w:rsidP="00523E9D">
            <w:pPr>
              <w:spacing w:before="0" w:after="0"/>
              <w:ind w:left="214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35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1 963,9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1 724,6</w:t>
            </w:r>
          </w:p>
          <w:p w:rsidR="00523E9D" w:rsidRPr="00D11CEF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2 443,7</w:t>
            </w:r>
          </w:p>
        </w:tc>
        <w:tc>
          <w:tcPr>
            <w:tcW w:w="911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99,1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98,4</w:t>
            </w:r>
          </w:p>
          <w:p w:rsidR="00523E9D" w:rsidRPr="00D11CEF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33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523E9D" w:rsidRP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523E9D" w:rsidRPr="00590FCC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1 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996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0</w:t>
            </w:r>
          </w:p>
          <w:p w:rsidR="00523E9D" w:rsidRPr="00590FCC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1 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752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  <w:p w:rsidR="00523E9D" w:rsidRP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2 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486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590FCC" w:rsidRPr="00590FC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523E9D" w:rsidRPr="00D52C90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523E9D" w:rsidRPr="00D52C90" w:rsidRDefault="00D52C90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52C90">
              <w:rPr>
                <w:rFonts w:eastAsia="Times New Roman" w:cs="Calibri"/>
                <w:sz w:val="16"/>
                <w:szCs w:val="16"/>
                <w:lang w:eastAsia="pl-PL"/>
              </w:rPr>
              <w:t>101</w:t>
            </w:r>
            <w:r w:rsidR="00523E9D" w:rsidRPr="00D52C9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D52C90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  <w:p w:rsidR="00523E9D" w:rsidRPr="00D52C90" w:rsidRDefault="00D52C90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52C90">
              <w:rPr>
                <w:rFonts w:eastAsia="Times New Roman" w:cs="Calibri"/>
                <w:sz w:val="16"/>
                <w:szCs w:val="16"/>
                <w:lang w:eastAsia="pl-PL"/>
              </w:rPr>
              <w:t>101</w:t>
            </w:r>
            <w:r w:rsidR="00523E9D" w:rsidRPr="00D52C9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D52C90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  <w:p w:rsidR="00523E9D" w:rsidRPr="00D52C90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52C90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D52C90" w:rsidRPr="00D52C90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Pr="00D52C9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D52C90" w:rsidRPr="00D52C90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</w:tr>
      <w:tr w:rsidR="00F73A06" w:rsidRPr="00F73A06" w:rsidTr="00523E9D">
        <w:trPr>
          <w:trHeight w:val="478"/>
        </w:trPr>
        <w:tc>
          <w:tcPr>
            <w:tcW w:w="418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uży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cie energii elektrycznej</w:t>
            </w:r>
            <w:r w:rsidRPr="00D11C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(w ciągu roku) na 1 mieszkańca w kWh</w:t>
            </w:r>
          </w:p>
          <w:p w:rsidR="00523E9D" w:rsidRDefault="00523E9D" w:rsidP="00523E9D">
            <w:pPr>
              <w:spacing w:before="0" w:after="0"/>
              <w:ind w:left="224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523E9D" w:rsidRPr="00D11CEF" w:rsidRDefault="00523E9D" w:rsidP="00523E9D">
            <w:pPr>
              <w:spacing w:before="0" w:after="0"/>
              <w:ind w:left="224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935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797,5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778,0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826,8</w:t>
            </w:r>
          </w:p>
        </w:tc>
        <w:tc>
          <w:tcPr>
            <w:tcW w:w="911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100,4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100,1</w:t>
            </w:r>
          </w:p>
          <w:p w:rsid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33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Pr="00523E9D" w:rsidRDefault="00523E9D" w:rsidP="00523E9D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523E9D" w:rsidRPr="00590FCC" w:rsidRDefault="00590FCC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822</w:t>
            </w:r>
            <w:r w:rsidR="00523E9D" w:rsidRPr="00590FC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  <w:p w:rsidR="00523E9D" w:rsidRPr="00590FCC" w:rsidRDefault="00590FCC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804</w:t>
            </w:r>
            <w:r w:rsidR="00523E9D" w:rsidRPr="00590FC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  <w:p w:rsidR="00523E9D" w:rsidRPr="00523E9D" w:rsidRDefault="00590FCC" w:rsidP="00523E9D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849</w:t>
            </w:r>
            <w:r w:rsidR="00523E9D" w:rsidRPr="00590FC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590FC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23E9D" w:rsidRPr="00F73A06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523E9D" w:rsidRPr="00F73A06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73A06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="00F73A06" w:rsidRPr="00F73A06">
              <w:rPr>
                <w:rFonts w:eastAsia="Times New Roman" w:cs="Calibri"/>
                <w:sz w:val="16"/>
                <w:szCs w:val="16"/>
                <w:lang w:eastAsia="pl-PL"/>
              </w:rPr>
              <w:t>03</w:t>
            </w:r>
            <w:r w:rsidR="00F73A06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73A06" w:rsidRPr="00F73A06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  <w:p w:rsidR="00523E9D" w:rsidRPr="00F73A06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73A06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F73A06" w:rsidRPr="00F73A06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="00F73A06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73A06" w:rsidRPr="00F73A06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  <w:p w:rsidR="00523E9D" w:rsidRPr="00F73A06" w:rsidRDefault="00523E9D" w:rsidP="00523E9D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73A06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F73A06" w:rsidRPr="00F73A06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  <w:r w:rsidR="00F73A06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73A06" w:rsidRPr="00F73A06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</w:tr>
    </w:tbl>
    <w:p w:rsidR="009A5D70" w:rsidRDefault="009A5D70" w:rsidP="00062AEB">
      <w:pPr>
        <w:pStyle w:val="Nagwek8"/>
      </w:pPr>
    </w:p>
    <w:p w:rsidR="00D7169F" w:rsidRPr="00D74CA0" w:rsidRDefault="00D7169F" w:rsidP="00D7169F">
      <w:r w:rsidRPr="00D74CA0">
        <w:t>W 20</w:t>
      </w:r>
      <w:r w:rsidR="0087619B">
        <w:t>20</w:t>
      </w:r>
      <w:r w:rsidRPr="00D74CA0">
        <w:t xml:space="preserve"> r. w porównaniu do roku poprzedniego zużycie energii elektrycznej na 1 odbiorcę </w:t>
      </w:r>
      <w:r w:rsidR="00956C15">
        <w:t>(</w:t>
      </w:r>
      <w:r w:rsidR="002B3ADD">
        <w:t>gospodarstw</w:t>
      </w:r>
      <w:r w:rsidR="00956C15">
        <w:t>o</w:t>
      </w:r>
      <w:r w:rsidR="002B3ADD">
        <w:t xml:space="preserve"> domow</w:t>
      </w:r>
      <w:r w:rsidR="00956C15">
        <w:t>e)</w:t>
      </w:r>
      <w:r w:rsidR="002B3ADD">
        <w:t xml:space="preserve"> w </w:t>
      </w:r>
      <w:r w:rsidRPr="00D74CA0">
        <w:t xml:space="preserve">Polsce </w:t>
      </w:r>
      <w:r w:rsidR="0087619B">
        <w:t>wzrosło</w:t>
      </w:r>
      <w:r w:rsidRPr="00D74CA0">
        <w:t xml:space="preserve"> o </w:t>
      </w:r>
      <w:r w:rsidR="0087619B">
        <w:t>1</w:t>
      </w:r>
      <w:r w:rsidRPr="00D74CA0">
        <w:t>,</w:t>
      </w:r>
      <w:r w:rsidR="0087619B">
        <w:t>6</w:t>
      </w:r>
      <w:r w:rsidRPr="00D74CA0">
        <w:t>% i wyniosło 1 </w:t>
      </w:r>
      <w:r w:rsidR="00507470" w:rsidRPr="00507470">
        <w:t>9</w:t>
      </w:r>
      <w:r w:rsidR="0087619B">
        <w:t>96</w:t>
      </w:r>
      <w:r w:rsidR="00507470" w:rsidRPr="00507470">
        <w:t>,</w:t>
      </w:r>
      <w:r w:rsidR="0087619B">
        <w:t>0</w:t>
      </w:r>
      <w:r w:rsidRPr="00D74CA0">
        <w:t xml:space="preserve"> kWh, przy czym </w:t>
      </w:r>
      <w:r w:rsidR="009439C1">
        <w:br/>
      </w:r>
      <w:r w:rsidRPr="00D74CA0">
        <w:t xml:space="preserve">w miastach </w:t>
      </w:r>
      <w:r w:rsidR="00A3346A">
        <w:t xml:space="preserve">wyniosło </w:t>
      </w:r>
      <w:r w:rsidR="00A3346A" w:rsidRPr="00D74CA0">
        <w:t>1 </w:t>
      </w:r>
      <w:r w:rsidR="00A3346A" w:rsidRPr="00507470">
        <w:t>7</w:t>
      </w:r>
      <w:r w:rsidR="00A3346A">
        <w:t>52</w:t>
      </w:r>
      <w:r w:rsidR="00A3346A" w:rsidRPr="00507470">
        <w:t>,</w:t>
      </w:r>
      <w:r w:rsidR="00A3346A">
        <w:t>5</w:t>
      </w:r>
      <w:r w:rsidR="00A3346A" w:rsidRPr="00D74CA0">
        <w:t xml:space="preserve"> kWh</w:t>
      </w:r>
      <w:r w:rsidR="00A3346A">
        <w:t xml:space="preserve"> </w:t>
      </w:r>
      <w:r w:rsidRPr="00D74CA0">
        <w:t>(</w:t>
      </w:r>
      <w:r w:rsidR="00A3346A">
        <w:t>wzrost</w:t>
      </w:r>
      <w:r w:rsidR="00A3346A" w:rsidRPr="00D74CA0">
        <w:t xml:space="preserve"> o 1,</w:t>
      </w:r>
      <w:r w:rsidR="00A3346A">
        <w:t>6</w:t>
      </w:r>
      <w:r w:rsidR="00A3346A" w:rsidRPr="00D74CA0">
        <w:t>%</w:t>
      </w:r>
      <w:r w:rsidRPr="00D74CA0">
        <w:t xml:space="preserve">), a na obszarach wiejskich </w:t>
      </w:r>
      <w:r w:rsidR="00BB3923" w:rsidRPr="00D74CA0">
        <w:t>2 </w:t>
      </w:r>
      <w:r w:rsidR="00BB3923" w:rsidRPr="00507470">
        <w:t>4</w:t>
      </w:r>
      <w:r w:rsidR="00BB3923">
        <w:t>86</w:t>
      </w:r>
      <w:r w:rsidR="00BB3923" w:rsidRPr="00507470">
        <w:t>,</w:t>
      </w:r>
      <w:r w:rsidR="00BB3923">
        <w:t>2</w:t>
      </w:r>
      <w:r w:rsidR="00BB3923" w:rsidRPr="00D74CA0">
        <w:t xml:space="preserve"> kWh </w:t>
      </w:r>
      <w:r w:rsidRPr="00D74CA0">
        <w:t>(</w:t>
      </w:r>
      <w:r w:rsidR="00BB3923" w:rsidRPr="00D74CA0">
        <w:t xml:space="preserve">wzrost o </w:t>
      </w:r>
      <w:r w:rsidR="00BB3923">
        <w:t>1</w:t>
      </w:r>
      <w:r w:rsidR="00BB3923" w:rsidRPr="00D74CA0">
        <w:t>,</w:t>
      </w:r>
      <w:r w:rsidR="00BB3923">
        <w:t>7</w:t>
      </w:r>
      <w:r w:rsidR="00BB3923" w:rsidRPr="00D74CA0">
        <w:t>%</w:t>
      </w:r>
      <w:r w:rsidRPr="00D74CA0">
        <w:t>).</w:t>
      </w:r>
    </w:p>
    <w:p w:rsidR="00D7169F" w:rsidRDefault="00D7169F" w:rsidP="00D7169F">
      <w:pPr>
        <w:rPr>
          <w:highlight w:val="yellow"/>
        </w:rPr>
      </w:pPr>
    </w:p>
    <w:p w:rsidR="008378F0" w:rsidRDefault="008378F0" w:rsidP="00D7169F">
      <w:pPr>
        <w:rPr>
          <w:highlight w:val="yellow"/>
        </w:rPr>
      </w:pPr>
    </w:p>
    <w:p w:rsidR="008378F0" w:rsidRPr="00E55C76" w:rsidRDefault="008378F0" w:rsidP="00D7169F">
      <w:pPr>
        <w:rPr>
          <w:highlight w:val="yellow"/>
        </w:rPr>
      </w:pPr>
    </w:p>
    <w:p w:rsidR="00D7169F" w:rsidRPr="00D74CA0" w:rsidRDefault="00BF1FD8" w:rsidP="00D7169F">
      <w:pPr>
        <w:tabs>
          <w:tab w:val="left" w:pos="851"/>
        </w:tabs>
        <w:ind w:left="851" w:hanging="851"/>
        <w:rPr>
          <w:b/>
          <w:sz w:val="18"/>
          <w:szCs w:val="18"/>
          <w:shd w:val="clear" w:color="auto" w:fill="FFFFFF"/>
        </w:rPr>
      </w:pPr>
      <w:r w:rsidRPr="0010295A">
        <w:rPr>
          <w:b/>
          <w:noProof/>
          <w:sz w:val="18"/>
          <w:szCs w:val="18"/>
          <w:highlight w:val="yellow"/>
          <w:shd w:val="clear" w:color="auto" w:fill="FFFFFF"/>
          <w:lang w:val="en-GB" w:eastAsia="en-GB"/>
        </w:rPr>
        <w:lastRenderedPageBreak/>
        <w:drawing>
          <wp:anchor distT="0" distB="0" distL="114300" distR="114300" simplePos="0" relativeHeight="251786240" behindDoc="0" locked="0" layoutInCell="1" allowOverlap="1" wp14:anchorId="45404672" wp14:editId="4A3F762E">
            <wp:simplePos x="0" y="0"/>
            <wp:positionH relativeFrom="margin">
              <wp:posOffset>3976</wp:posOffset>
            </wp:positionH>
            <wp:positionV relativeFrom="paragraph">
              <wp:posOffset>228490</wp:posOffset>
            </wp:positionV>
            <wp:extent cx="5124450" cy="3490622"/>
            <wp:effectExtent l="0" t="0" r="0" b="0"/>
            <wp:wrapNone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="00D7169F" w:rsidRPr="0010295A">
        <w:rPr>
          <w:b/>
          <w:sz w:val="18"/>
          <w:szCs w:val="18"/>
          <w:shd w:val="clear" w:color="auto" w:fill="FFFFFF"/>
        </w:rPr>
        <w:t xml:space="preserve">Wykres </w:t>
      </w:r>
      <w:r w:rsidR="00D7169F" w:rsidRPr="00D74CA0">
        <w:rPr>
          <w:b/>
          <w:sz w:val="18"/>
          <w:szCs w:val="18"/>
          <w:shd w:val="clear" w:color="auto" w:fill="FFFFFF"/>
        </w:rPr>
        <w:t xml:space="preserve">2. Zużycie energii elektrycznej </w:t>
      </w:r>
      <w:r w:rsidR="00EA22DB" w:rsidRPr="00D74CA0">
        <w:rPr>
          <w:b/>
          <w:sz w:val="18"/>
          <w:szCs w:val="18"/>
          <w:shd w:val="clear" w:color="auto" w:fill="FFFFFF"/>
        </w:rPr>
        <w:t xml:space="preserve">w gospodarstwach domowych </w:t>
      </w:r>
      <w:r w:rsidR="00D7169F" w:rsidRPr="00D74CA0">
        <w:rPr>
          <w:b/>
          <w:sz w:val="18"/>
          <w:szCs w:val="18"/>
          <w:shd w:val="clear" w:color="auto" w:fill="FFFFFF"/>
        </w:rPr>
        <w:t>na 1 mieszkańca w 20</w:t>
      </w:r>
      <w:r w:rsidR="00F75718">
        <w:rPr>
          <w:b/>
          <w:sz w:val="18"/>
          <w:szCs w:val="18"/>
          <w:shd w:val="clear" w:color="auto" w:fill="FFFFFF"/>
        </w:rPr>
        <w:t>20</w:t>
      </w:r>
      <w:r w:rsidR="00D7169F" w:rsidRPr="00D74CA0">
        <w:rPr>
          <w:b/>
          <w:sz w:val="18"/>
          <w:szCs w:val="18"/>
          <w:shd w:val="clear" w:color="auto" w:fill="FFFFFF"/>
        </w:rPr>
        <w:t xml:space="preserve"> r.</w:t>
      </w:r>
    </w:p>
    <w:p w:rsidR="00EC1A34" w:rsidRDefault="00EC1A34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rPr>
          <w:sz w:val="12"/>
          <w:szCs w:val="12"/>
          <w:highlight w:val="yellow"/>
          <w:shd w:val="clear" w:color="auto" w:fill="FFFFFF"/>
        </w:rPr>
      </w:pPr>
    </w:p>
    <w:p w:rsidR="00BF1FD8" w:rsidRDefault="00BF1FD8" w:rsidP="00BF1FD8">
      <w:pPr>
        <w:spacing w:before="0" w:after="160" w:line="259" w:lineRule="auto"/>
        <w:rPr>
          <w:rFonts w:eastAsia="Times New Roman" w:cs="Times New Roman"/>
          <w:b/>
          <w:bCs/>
          <w:color w:val="001D77"/>
          <w:szCs w:val="19"/>
          <w:lang w:eastAsia="pl-PL"/>
        </w:rPr>
      </w:pPr>
    </w:p>
    <w:p w:rsidR="00D7169F" w:rsidRPr="00D74CA0" w:rsidRDefault="00E96F2E" w:rsidP="00BF1FD8">
      <w:pPr>
        <w:spacing w:before="0" w:after="160" w:line="259" w:lineRule="auto"/>
        <w:rPr>
          <w:rFonts w:eastAsia="Times New Roman" w:cs="Times New Roman"/>
          <w:b/>
          <w:bCs/>
          <w:color w:val="001D77"/>
          <w:szCs w:val="19"/>
          <w:lang w:eastAsia="pl-PL"/>
        </w:rPr>
      </w:pPr>
      <w:r w:rsidRPr="00D74CA0">
        <w:rPr>
          <w:noProof/>
          <w:spacing w:val="-2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BB1D66" wp14:editId="2ED85BF8">
                <wp:simplePos x="0" y="0"/>
                <wp:positionH relativeFrom="column">
                  <wp:posOffset>5211445</wp:posOffset>
                </wp:positionH>
                <wp:positionV relativeFrom="paragraph">
                  <wp:posOffset>210185</wp:posOffset>
                </wp:positionV>
                <wp:extent cx="1656080" cy="99060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3D2" w:rsidRDefault="008E53D2" w:rsidP="00D7169F">
                            <w:pPr>
                              <w:pStyle w:val="tekstzboku"/>
                            </w:pPr>
                            <w:r>
                              <w:t xml:space="preserve">Sieć cieplna w Polsce </w:t>
                            </w:r>
                            <w:r w:rsidR="00D203F0">
                              <w:t>na koniec</w:t>
                            </w:r>
                            <w:r>
                              <w:t> </w:t>
                            </w:r>
                            <w:r w:rsidR="00D203F0">
                              <w:t>2020</w:t>
                            </w:r>
                            <w:r>
                              <w:t xml:space="preserve"> r. osiągnęła długość ponad 25 tys. km </w:t>
                            </w:r>
                            <w:r w:rsidR="00BB3923">
                              <w:t>a jej</w:t>
                            </w:r>
                            <w:r>
                              <w:t xml:space="preserve"> zagęszczenie </w:t>
                            </w:r>
                            <w:r w:rsidR="00BB3923">
                              <w:t xml:space="preserve">wyniosło </w:t>
                            </w:r>
                            <w:r w:rsidRPr="00EF78D1">
                              <w:t>8,1 km</w:t>
                            </w:r>
                            <w:r>
                              <w:t xml:space="preserve"> na 100 km</w:t>
                            </w:r>
                            <w:r w:rsidRPr="00B8333D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1D66" id="Text Box 23" o:spid="_x0000_s1030" type="#_x0000_t202" style="position:absolute;margin-left:410.35pt;margin-top:16.55pt;width:130.4pt;height:7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" filled="f" stroked="f">
                <v:fill opacity="0"/>
                <v:textbox>
                  <w:txbxContent>
                    <w:p w:rsidR="008E53D2" w:rsidRDefault="008E53D2" w:rsidP="00D7169F">
                      <w:pPr>
                        <w:pStyle w:val="tekstzboku"/>
                      </w:pPr>
                      <w:r>
                        <w:t xml:space="preserve">Sieć cieplna w Polsce </w:t>
                      </w:r>
                      <w:r w:rsidR="00D203F0">
                        <w:t>na koniec</w:t>
                      </w:r>
                      <w:r>
                        <w:t> </w:t>
                      </w:r>
                      <w:r w:rsidR="00D203F0">
                        <w:t>2020</w:t>
                      </w:r>
                      <w:r>
                        <w:t xml:space="preserve"> r. osiągnęła długość ponad 25 tys. km </w:t>
                      </w:r>
                      <w:r w:rsidR="00BB3923">
                        <w:t>a jej</w:t>
                      </w:r>
                      <w:r>
                        <w:t xml:space="preserve"> zagęszczenie </w:t>
                      </w:r>
                      <w:r w:rsidR="00BB3923">
                        <w:t xml:space="preserve">wyniosło </w:t>
                      </w:r>
                      <w:r w:rsidRPr="00EF78D1">
                        <w:t>8,1 km</w:t>
                      </w:r>
                      <w:r>
                        <w:t xml:space="preserve"> na 100 km</w:t>
                      </w:r>
                      <w:r w:rsidRPr="00B8333D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169F" w:rsidRPr="00D74CA0">
        <w:rPr>
          <w:rFonts w:eastAsia="Times New Roman" w:cs="Times New Roman"/>
          <w:b/>
          <w:bCs/>
          <w:color w:val="001D77"/>
          <w:szCs w:val="19"/>
          <w:lang w:eastAsia="pl-PL"/>
        </w:rPr>
        <w:t>Sieć cieplna</w:t>
      </w:r>
    </w:p>
    <w:p w:rsidR="00D7169F" w:rsidRPr="00D74CA0" w:rsidRDefault="00D7169F" w:rsidP="00D7169F">
      <w:pPr>
        <w:spacing w:before="0" w:after="0" w:line="240" w:lineRule="auto"/>
        <w:rPr>
          <w:rFonts w:eastAsia="Times New Roman" w:cs="Times New Roman"/>
          <w:bCs/>
          <w:color w:val="001D77"/>
          <w:sz w:val="12"/>
          <w:szCs w:val="12"/>
          <w:lang w:eastAsia="pl-PL"/>
        </w:rPr>
      </w:pPr>
    </w:p>
    <w:p w:rsidR="00D7169F" w:rsidRPr="00422EFF" w:rsidRDefault="00D7169F" w:rsidP="00D7169F">
      <w:pPr>
        <w:spacing w:before="0" w:after="0"/>
        <w:rPr>
          <w:color w:val="FF0000"/>
          <w:spacing w:val="-2"/>
          <w:szCs w:val="19"/>
        </w:rPr>
      </w:pPr>
      <w:r w:rsidRPr="0010120A">
        <w:rPr>
          <w:spacing w:val="-2"/>
          <w:szCs w:val="19"/>
        </w:rPr>
        <w:t xml:space="preserve">Długość sieci cieplnej ogółem </w:t>
      </w:r>
      <w:r w:rsidR="00B8333D" w:rsidRPr="0010120A">
        <w:rPr>
          <w:spacing w:val="-2"/>
          <w:szCs w:val="19"/>
        </w:rPr>
        <w:t>na koniec</w:t>
      </w:r>
      <w:r w:rsidRPr="0010120A">
        <w:rPr>
          <w:spacing w:val="-2"/>
          <w:szCs w:val="19"/>
        </w:rPr>
        <w:t xml:space="preserve"> </w:t>
      </w:r>
      <w:r w:rsidR="001A7AA1">
        <w:rPr>
          <w:spacing w:val="-2"/>
          <w:szCs w:val="19"/>
        </w:rPr>
        <w:t>2020</w:t>
      </w:r>
      <w:r w:rsidRPr="0010120A">
        <w:rPr>
          <w:spacing w:val="-2"/>
          <w:szCs w:val="19"/>
        </w:rPr>
        <w:t xml:space="preserve"> r. wyniosła 25</w:t>
      </w:r>
      <w:r w:rsidR="006C5154" w:rsidRPr="0010120A">
        <w:rPr>
          <w:spacing w:val="-2"/>
          <w:szCs w:val="19"/>
        </w:rPr>
        <w:t> </w:t>
      </w:r>
      <w:r w:rsidR="00227F38">
        <w:rPr>
          <w:spacing w:val="-2"/>
          <w:szCs w:val="19"/>
        </w:rPr>
        <w:t>326</w:t>
      </w:r>
      <w:r w:rsidRPr="0010120A">
        <w:rPr>
          <w:spacing w:val="-2"/>
          <w:szCs w:val="19"/>
        </w:rPr>
        <w:t xml:space="preserve"> km, z czego na długość sieci </w:t>
      </w:r>
      <w:r w:rsidRPr="00D014C6">
        <w:rPr>
          <w:spacing w:val="-2"/>
          <w:szCs w:val="19"/>
        </w:rPr>
        <w:t xml:space="preserve">przesyłowej </w:t>
      </w:r>
      <w:r w:rsidR="006C5154" w:rsidRPr="00D014C6">
        <w:rPr>
          <w:spacing w:val="-2"/>
          <w:szCs w:val="19"/>
        </w:rPr>
        <w:t xml:space="preserve">i rozdzielczej </w:t>
      </w:r>
      <w:r w:rsidR="00B8333D" w:rsidRPr="00D014C6">
        <w:rPr>
          <w:spacing w:val="-2"/>
          <w:szCs w:val="19"/>
        </w:rPr>
        <w:t>przypad</w:t>
      </w:r>
      <w:r w:rsidRPr="00D014C6">
        <w:rPr>
          <w:spacing w:val="-2"/>
          <w:szCs w:val="19"/>
        </w:rPr>
        <w:t>ło 16</w:t>
      </w:r>
      <w:r w:rsidR="006C5154" w:rsidRPr="00D014C6">
        <w:rPr>
          <w:spacing w:val="-2"/>
          <w:szCs w:val="19"/>
        </w:rPr>
        <w:t> </w:t>
      </w:r>
      <w:r w:rsidR="00D203F0" w:rsidRPr="00D014C6">
        <w:rPr>
          <w:spacing w:val="-2"/>
          <w:szCs w:val="19"/>
        </w:rPr>
        <w:t>537</w:t>
      </w:r>
      <w:r w:rsidRPr="00D014C6">
        <w:rPr>
          <w:spacing w:val="-2"/>
          <w:szCs w:val="19"/>
        </w:rPr>
        <w:t xml:space="preserve"> km, a na przyłącza do budynków </w:t>
      </w:r>
      <w:r w:rsidR="006C5154" w:rsidRPr="00D014C6">
        <w:rPr>
          <w:spacing w:val="-2"/>
          <w:szCs w:val="19"/>
        </w:rPr>
        <w:t>8 </w:t>
      </w:r>
      <w:r w:rsidR="00D203F0" w:rsidRPr="00D014C6">
        <w:rPr>
          <w:spacing w:val="-2"/>
          <w:szCs w:val="19"/>
        </w:rPr>
        <w:t>752</w:t>
      </w:r>
      <w:r w:rsidR="00B8333D" w:rsidRPr="00D014C6">
        <w:rPr>
          <w:spacing w:val="-2"/>
          <w:szCs w:val="19"/>
        </w:rPr>
        <w:t> </w:t>
      </w:r>
      <w:r w:rsidRPr="00D014C6">
        <w:rPr>
          <w:spacing w:val="-2"/>
          <w:szCs w:val="19"/>
        </w:rPr>
        <w:t xml:space="preserve">km. </w:t>
      </w:r>
      <w:r w:rsidR="00073156" w:rsidRPr="00D014C6">
        <w:rPr>
          <w:spacing w:val="-2"/>
          <w:szCs w:val="19"/>
        </w:rPr>
        <w:br/>
      </w:r>
      <w:r w:rsidR="00C525C4" w:rsidRPr="00D014C6">
        <w:rPr>
          <w:spacing w:val="-2"/>
          <w:szCs w:val="19"/>
        </w:rPr>
        <w:t>N</w:t>
      </w:r>
      <w:r w:rsidRPr="00D014C6">
        <w:rPr>
          <w:spacing w:val="-2"/>
          <w:szCs w:val="19"/>
        </w:rPr>
        <w:t>ajwiększe zagęszczenie sieci cieplnej wystąpiło na terenach województw: śląskiego (</w:t>
      </w:r>
      <w:r w:rsidR="003D53F5" w:rsidRPr="00D014C6">
        <w:rPr>
          <w:spacing w:val="-2"/>
          <w:szCs w:val="19"/>
        </w:rPr>
        <w:t>29,</w:t>
      </w:r>
      <w:r w:rsidR="00F53C5F" w:rsidRPr="00D014C6">
        <w:rPr>
          <w:spacing w:val="-2"/>
          <w:szCs w:val="19"/>
        </w:rPr>
        <w:t>7</w:t>
      </w:r>
      <w:r w:rsidRPr="00D014C6">
        <w:rPr>
          <w:spacing w:val="-2"/>
          <w:szCs w:val="19"/>
        </w:rPr>
        <w:t xml:space="preserve"> km na 100 km</w:t>
      </w:r>
      <w:r w:rsidRPr="00D014C6">
        <w:rPr>
          <w:spacing w:val="-2"/>
          <w:szCs w:val="19"/>
          <w:vertAlign w:val="superscript"/>
        </w:rPr>
        <w:t>2</w:t>
      </w:r>
      <w:r w:rsidRPr="00D014C6">
        <w:rPr>
          <w:spacing w:val="-2"/>
          <w:szCs w:val="19"/>
        </w:rPr>
        <w:t>), małopolskiego (</w:t>
      </w:r>
      <w:r w:rsidR="003D53F5" w:rsidRPr="00D014C6">
        <w:rPr>
          <w:spacing w:val="-2"/>
          <w:szCs w:val="19"/>
        </w:rPr>
        <w:t>13,</w:t>
      </w:r>
      <w:r w:rsidR="00D014C6" w:rsidRPr="00D014C6">
        <w:rPr>
          <w:spacing w:val="-2"/>
          <w:szCs w:val="19"/>
        </w:rPr>
        <w:t>5</w:t>
      </w:r>
      <w:r w:rsidRPr="00D014C6">
        <w:rPr>
          <w:spacing w:val="-2"/>
          <w:szCs w:val="19"/>
        </w:rPr>
        <w:t xml:space="preserve"> km na 100 km</w:t>
      </w:r>
      <w:r w:rsidRPr="00D014C6">
        <w:rPr>
          <w:spacing w:val="-2"/>
          <w:szCs w:val="19"/>
          <w:vertAlign w:val="superscript"/>
        </w:rPr>
        <w:t>2</w:t>
      </w:r>
      <w:r w:rsidRPr="00D014C6">
        <w:rPr>
          <w:spacing w:val="-2"/>
          <w:szCs w:val="19"/>
        </w:rPr>
        <w:t>)</w:t>
      </w:r>
      <w:r w:rsidR="00EF78D1" w:rsidRPr="00D014C6">
        <w:rPr>
          <w:spacing w:val="-2"/>
          <w:szCs w:val="19"/>
        </w:rPr>
        <w:t>, pomorskiego (10,</w:t>
      </w:r>
      <w:r w:rsidR="00D014C6" w:rsidRPr="00D014C6">
        <w:rPr>
          <w:spacing w:val="-2"/>
          <w:szCs w:val="19"/>
        </w:rPr>
        <w:t>6</w:t>
      </w:r>
      <w:r w:rsidR="00EF78D1" w:rsidRPr="00D014C6">
        <w:rPr>
          <w:spacing w:val="-2"/>
          <w:szCs w:val="19"/>
        </w:rPr>
        <w:t xml:space="preserve"> km na 100 km</w:t>
      </w:r>
      <w:r w:rsidR="00EF78D1" w:rsidRPr="00D014C6">
        <w:rPr>
          <w:spacing w:val="-2"/>
          <w:szCs w:val="19"/>
          <w:vertAlign w:val="superscript"/>
        </w:rPr>
        <w:t>2</w:t>
      </w:r>
      <w:r w:rsidR="00EF78D1" w:rsidRPr="00D014C6">
        <w:rPr>
          <w:spacing w:val="-2"/>
          <w:szCs w:val="19"/>
        </w:rPr>
        <w:t xml:space="preserve">), </w:t>
      </w:r>
      <w:r w:rsidRPr="00D014C6">
        <w:rPr>
          <w:spacing w:val="-2"/>
          <w:szCs w:val="19"/>
        </w:rPr>
        <w:t xml:space="preserve">łódzkiego </w:t>
      </w:r>
      <w:r w:rsidR="00EF78D1" w:rsidRPr="00D014C6">
        <w:rPr>
          <w:spacing w:val="-2"/>
          <w:szCs w:val="19"/>
        </w:rPr>
        <w:t>(10,</w:t>
      </w:r>
      <w:r w:rsidR="00D014C6" w:rsidRPr="00D014C6">
        <w:rPr>
          <w:spacing w:val="-2"/>
          <w:szCs w:val="19"/>
        </w:rPr>
        <w:t>4</w:t>
      </w:r>
      <w:r w:rsidR="00EF78D1" w:rsidRPr="00D014C6">
        <w:rPr>
          <w:spacing w:val="-2"/>
          <w:szCs w:val="19"/>
        </w:rPr>
        <w:t xml:space="preserve"> km na 100 km</w:t>
      </w:r>
      <w:r w:rsidR="00EF78D1" w:rsidRPr="00D014C6">
        <w:rPr>
          <w:spacing w:val="-2"/>
          <w:szCs w:val="19"/>
          <w:vertAlign w:val="superscript"/>
        </w:rPr>
        <w:t>2</w:t>
      </w:r>
      <w:r w:rsidR="00EF78D1" w:rsidRPr="00D014C6">
        <w:rPr>
          <w:spacing w:val="-2"/>
          <w:szCs w:val="19"/>
        </w:rPr>
        <w:t xml:space="preserve">) </w:t>
      </w:r>
      <w:r w:rsidR="004A022A" w:rsidRPr="00D014C6">
        <w:rPr>
          <w:spacing w:val="-2"/>
          <w:szCs w:val="19"/>
        </w:rPr>
        <w:t>i</w:t>
      </w:r>
      <w:r w:rsidRPr="00D014C6">
        <w:rPr>
          <w:spacing w:val="-2"/>
          <w:szCs w:val="19"/>
        </w:rPr>
        <w:t xml:space="preserve"> </w:t>
      </w:r>
      <w:r w:rsidR="00EF78D1" w:rsidRPr="00D014C6">
        <w:rPr>
          <w:spacing w:val="-2"/>
          <w:szCs w:val="19"/>
        </w:rPr>
        <w:t xml:space="preserve">mazowieckiego </w:t>
      </w:r>
      <w:r w:rsidRPr="00D014C6">
        <w:rPr>
          <w:spacing w:val="-2"/>
          <w:szCs w:val="19"/>
        </w:rPr>
        <w:t>(</w:t>
      </w:r>
      <w:r w:rsidR="003D53F5" w:rsidRPr="00D014C6">
        <w:rPr>
          <w:spacing w:val="-2"/>
          <w:szCs w:val="19"/>
        </w:rPr>
        <w:t>10,</w:t>
      </w:r>
      <w:r w:rsidR="00D014C6" w:rsidRPr="00D014C6">
        <w:rPr>
          <w:spacing w:val="-2"/>
          <w:szCs w:val="19"/>
        </w:rPr>
        <w:t>2</w:t>
      </w:r>
      <w:r w:rsidR="003D53F5" w:rsidRPr="00D014C6">
        <w:rPr>
          <w:spacing w:val="-2"/>
          <w:szCs w:val="19"/>
        </w:rPr>
        <w:t xml:space="preserve"> </w:t>
      </w:r>
      <w:r w:rsidRPr="00D014C6">
        <w:rPr>
          <w:spacing w:val="-2"/>
          <w:szCs w:val="19"/>
        </w:rPr>
        <w:t>km na 100 km</w:t>
      </w:r>
      <w:r w:rsidRPr="00D014C6">
        <w:rPr>
          <w:spacing w:val="-2"/>
          <w:szCs w:val="19"/>
          <w:vertAlign w:val="superscript"/>
        </w:rPr>
        <w:t>2</w:t>
      </w:r>
      <w:r w:rsidR="00EF78D1" w:rsidRPr="00D014C6">
        <w:rPr>
          <w:spacing w:val="-2"/>
          <w:szCs w:val="19"/>
        </w:rPr>
        <w:t>), natomiast najmniejsze – w </w:t>
      </w:r>
      <w:r w:rsidRPr="00D014C6">
        <w:rPr>
          <w:spacing w:val="-2"/>
          <w:szCs w:val="19"/>
        </w:rPr>
        <w:t>województwie lubuskim (3,</w:t>
      </w:r>
      <w:r w:rsidR="00D014C6" w:rsidRPr="00D014C6">
        <w:rPr>
          <w:spacing w:val="-2"/>
          <w:szCs w:val="19"/>
        </w:rPr>
        <w:t>6</w:t>
      </w:r>
      <w:r w:rsidR="0005220D" w:rsidRPr="00D014C6">
        <w:rPr>
          <w:spacing w:val="-2"/>
          <w:szCs w:val="19"/>
        </w:rPr>
        <w:t> </w:t>
      </w:r>
      <w:r w:rsidRPr="00D014C6">
        <w:rPr>
          <w:spacing w:val="-2"/>
          <w:szCs w:val="19"/>
        </w:rPr>
        <w:t>km na 100 km</w:t>
      </w:r>
      <w:r w:rsidRPr="00D014C6">
        <w:rPr>
          <w:spacing w:val="-2"/>
          <w:szCs w:val="19"/>
          <w:vertAlign w:val="superscript"/>
        </w:rPr>
        <w:t>2</w:t>
      </w:r>
      <w:r w:rsidRPr="00D014C6">
        <w:rPr>
          <w:spacing w:val="-2"/>
          <w:szCs w:val="19"/>
        </w:rPr>
        <w:t>)</w:t>
      </w:r>
      <w:r w:rsidR="00EF78D1" w:rsidRPr="00D014C6">
        <w:rPr>
          <w:spacing w:val="-2"/>
          <w:szCs w:val="19"/>
        </w:rPr>
        <w:t xml:space="preserve">, </w:t>
      </w:r>
      <w:r w:rsidR="009468E1" w:rsidRPr="00D014C6">
        <w:rPr>
          <w:spacing w:val="-2"/>
          <w:szCs w:val="19"/>
        </w:rPr>
        <w:t xml:space="preserve">podlaskim </w:t>
      </w:r>
      <w:r w:rsidR="00EF78D1" w:rsidRPr="00D014C6">
        <w:rPr>
          <w:spacing w:val="-2"/>
          <w:szCs w:val="19"/>
        </w:rPr>
        <w:t>(4,</w:t>
      </w:r>
      <w:r w:rsidR="00D014C6" w:rsidRPr="00D014C6">
        <w:rPr>
          <w:spacing w:val="-2"/>
          <w:szCs w:val="19"/>
        </w:rPr>
        <w:t>2</w:t>
      </w:r>
      <w:r w:rsidR="00EF78D1" w:rsidRPr="00D014C6">
        <w:rPr>
          <w:spacing w:val="-2"/>
          <w:szCs w:val="19"/>
        </w:rPr>
        <w:t xml:space="preserve"> km na 100 km</w:t>
      </w:r>
      <w:r w:rsidR="00EF78D1" w:rsidRPr="00D014C6">
        <w:rPr>
          <w:spacing w:val="-2"/>
          <w:szCs w:val="19"/>
          <w:vertAlign w:val="superscript"/>
        </w:rPr>
        <w:t>2</w:t>
      </w:r>
      <w:r w:rsidR="00EF78D1" w:rsidRPr="00D014C6">
        <w:rPr>
          <w:spacing w:val="-2"/>
          <w:szCs w:val="19"/>
        </w:rPr>
        <w:t xml:space="preserve">), </w:t>
      </w:r>
      <w:r w:rsidR="009468E1" w:rsidRPr="00D014C6">
        <w:rPr>
          <w:spacing w:val="-2"/>
          <w:szCs w:val="19"/>
        </w:rPr>
        <w:t>warmińsko</w:t>
      </w:r>
      <w:r w:rsidR="00EF78D1" w:rsidRPr="00D014C6">
        <w:rPr>
          <w:spacing w:val="-2"/>
          <w:szCs w:val="19"/>
        </w:rPr>
        <w:noBreakHyphen/>
      </w:r>
      <w:r w:rsidR="009468E1" w:rsidRPr="00D014C6">
        <w:rPr>
          <w:spacing w:val="-2"/>
          <w:szCs w:val="19"/>
        </w:rPr>
        <w:t>mazurskim (4,</w:t>
      </w:r>
      <w:r w:rsidR="00EF78D1" w:rsidRPr="00D014C6">
        <w:rPr>
          <w:spacing w:val="-2"/>
          <w:szCs w:val="19"/>
        </w:rPr>
        <w:t>2</w:t>
      </w:r>
      <w:r w:rsidR="009468E1" w:rsidRPr="00D014C6">
        <w:rPr>
          <w:spacing w:val="-2"/>
          <w:szCs w:val="19"/>
        </w:rPr>
        <w:t xml:space="preserve"> km na 100 km</w:t>
      </w:r>
      <w:r w:rsidR="009468E1" w:rsidRPr="00D014C6">
        <w:rPr>
          <w:spacing w:val="-2"/>
          <w:szCs w:val="19"/>
          <w:vertAlign w:val="superscript"/>
        </w:rPr>
        <w:t>2</w:t>
      </w:r>
      <w:r w:rsidR="009468E1" w:rsidRPr="00D014C6">
        <w:rPr>
          <w:spacing w:val="-2"/>
          <w:szCs w:val="19"/>
        </w:rPr>
        <w:t>)</w:t>
      </w:r>
      <w:r w:rsidR="00EF78D1" w:rsidRPr="00D014C6">
        <w:rPr>
          <w:spacing w:val="-2"/>
          <w:szCs w:val="19"/>
        </w:rPr>
        <w:t xml:space="preserve"> i zachodniopomorskim (4,8 km na 100 km</w:t>
      </w:r>
      <w:r w:rsidR="00EF78D1" w:rsidRPr="00D014C6">
        <w:rPr>
          <w:spacing w:val="-2"/>
          <w:szCs w:val="19"/>
          <w:vertAlign w:val="superscript"/>
        </w:rPr>
        <w:t>2</w:t>
      </w:r>
      <w:r w:rsidR="00EF78D1" w:rsidRPr="00D014C6">
        <w:rPr>
          <w:spacing w:val="-2"/>
          <w:szCs w:val="19"/>
        </w:rPr>
        <w:t>)</w:t>
      </w:r>
      <w:r w:rsidRPr="00D014C6">
        <w:rPr>
          <w:spacing w:val="-2"/>
          <w:szCs w:val="19"/>
        </w:rPr>
        <w:t>.</w:t>
      </w:r>
    </w:p>
    <w:p w:rsidR="000235AB" w:rsidRDefault="000235AB" w:rsidP="00D7169F">
      <w:pPr>
        <w:spacing w:before="0" w:after="0"/>
        <w:rPr>
          <w:spacing w:val="-2"/>
          <w:szCs w:val="19"/>
        </w:rPr>
      </w:pPr>
    </w:p>
    <w:p w:rsidR="000235AB" w:rsidRDefault="000235AB" w:rsidP="000235AB">
      <w:pPr>
        <w:spacing w:before="0" w:after="0"/>
        <w:rPr>
          <w:spacing w:val="-2"/>
          <w:sz w:val="18"/>
        </w:rPr>
      </w:pPr>
      <w:r w:rsidRPr="007A38B8">
        <w:rPr>
          <w:b/>
          <w:spacing w:val="-2"/>
          <w:sz w:val="18"/>
        </w:rPr>
        <w:t>Tablica</w:t>
      </w:r>
      <w:r>
        <w:rPr>
          <w:b/>
          <w:spacing w:val="-2"/>
          <w:sz w:val="18"/>
        </w:rPr>
        <w:t xml:space="preserve"> </w:t>
      </w:r>
      <w:r w:rsidR="00BA6751">
        <w:rPr>
          <w:b/>
          <w:spacing w:val="-2"/>
          <w:sz w:val="18"/>
        </w:rPr>
        <w:t>3</w:t>
      </w:r>
      <w:r w:rsidRPr="007A38B8">
        <w:rPr>
          <w:b/>
          <w:spacing w:val="-2"/>
          <w:sz w:val="18"/>
        </w:rPr>
        <w:t xml:space="preserve">. </w:t>
      </w:r>
      <w:r w:rsidR="004829B5">
        <w:rPr>
          <w:b/>
          <w:spacing w:val="-2"/>
          <w:sz w:val="18"/>
        </w:rPr>
        <w:t>Infrastruktura ciepłownicza</w:t>
      </w:r>
      <w:r>
        <w:rPr>
          <w:b/>
          <w:spacing w:val="-2"/>
          <w:sz w:val="18"/>
        </w:rPr>
        <w:t xml:space="preserve"> oraz </w:t>
      </w:r>
      <w:r w:rsidR="004829B5">
        <w:rPr>
          <w:b/>
          <w:spacing w:val="-2"/>
          <w:sz w:val="18"/>
        </w:rPr>
        <w:t>sprzedaż</w:t>
      </w:r>
      <w:r>
        <w:rPr>
          <w:b/>
          <w:spacing w:val="-2"/>
          <w:sz w:val="18"/>
        </w:rPr>
        <w:t xml:space="preserve"> energii cieplnej</w:t>
      </w:r>
    </w:p>
    <w:p w:rsidR="000235AB" w:rsidRPr="00D74CA0" w:rsidRDefault="000235AB" w:rsidP="00D7169F">
      <w:pPr>
        <w:spacing w:before="0" w:after="0"/>
        <w:rPr>
          <w:spacing w:val="-2"/>
          <w:szCs w:val="19"/>
        </w:rPr>
      </w:pPr>
    </w:p>
    <w:tbl>
      <w:tblPr>
        <w:tblW w:w="787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0"/>
        <w:gridCol w:w="897"/>
        <w:gridCol w:w="897"/>
        <w:gridCol w:w="897"/>
        <w:gridCol w:w="897"/>
      </w:tblGrid>
      <w:tr w:rsidR="002204FF" w:rsidRPr="0038453C" w:rsidTr="00901315">
        <w:trPr>
          <w:trHeight w:val="20"/>
        </w:trPr>
        <w:tc>
          <w:tcPr>
            <w:tcW w:w="429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204FF" w:rsidRPr="0038453C" w:rsidRDefault="002204FF" w:rsidP="002204FF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897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204FF" w:rsidRPr="0038453C" w:rsidRDefault="002204FF" w:rsidP="002204FF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7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204FF" w:rsidRPr="0038453C" w:rsidRDefault="002204FF" w:rsidP="002204FF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8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7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204FF" w:rsidRPr="0038453C" w:rsidRDefault="002204FF" w:rsidP="002204FF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7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204FF" w:rsidRPr="0038453C" w:rsidRDefault="002204FF" w:rsidP="002204FF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9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2204FF" w:rsidRPr="0038453C" w:rsidTr="002B7E4E">
        <w:trPr>
          <w:trHeight w:val="869"/>
        </w:trPr>
        <w:tc>
          <w:tcPr>
            <w:tcW w:w="4290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2204FF" w:rsidRDefault="002204FF" w:rsidP="002204FF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Sieć cieplna ogółem w km (stan na 31 grudnia)</w:t>
            </w:r>
          </w:p>
          <w:p w:rsidR="002204FF" w:rsidRDefault="002204FF" w:rsidP="002204FF">
            <w:pPr>
              <w:spacing w:before="0" w:after="0"/>
              <w:ind w:left="182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2204FF" w:rsidRPr="0038453C" w:rsidRDefault="002204FF" w:rsidP="002204FF">
            <w:pPr>
              <w:spacing w:before="0" w:after="0"/>
              <w:ind w:left="182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897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012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 w:rsidRPr="001012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25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0,6</w:t>
            </w:r>
          </w:p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24 118,9</w:t>
            </w:r>
          </w:p>
          <w:p w:rsidR="002204FF" w:rsidRPr="0010120A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1 131,7</w:t>
            </w:r>
          </w:p>
        </w:tc>
        <w:tc>
          <w:tcPr>
            <w:tcW w:w="897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60CC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100,1</w:t>
            </w:r>
          </w:p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100,6</w:t>
            </w:r>
          </w:p>
          <w:p w:rsidR="002204FF" w:rsidRPr="00E60CCE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91,8</w:t>
            </w:r>
          </w:p>
        </w:tc>
        <w:tc>
          <w:tcPr>
            <w:tcW w:w="897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2204FF" w:rsidRPr="004B2D05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B2D05">
              <w:rPr>
                <w:rFonts w:eastAsia="Times New Roman" w:cs="Calibri"/>
                <w:sz w:val="16"/>
                <w:szCs w:val="16"/>
                <w:lang w:eastAsia="pl-PL"/>
              </w:rPr>
              <w:t>25 </w:t>
            </w:r>
            <w:r w:rsidR="00210434" w:rsidRPr="004B2D05">
              <w:rPr>
                <w:rFonts w:eastAsia="Times New Roman" w:cs="Calibri"/>
                <w:sz w:val="16"/>
                <w:szCs w:val="16"/>
                <w:lang w:eastAsia="pl-PL"/>
              </w:rPr>
              <w:t>325</w:t>
            </w:r>
            <w:r w:rsidRPr="004B2D0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210434" w:rsidRPr="004B2D05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  <w:p w:rsidR="002204FF" w:rsidRPr="004B2D05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B2D05">
              <w:rPr>
                <w:rFonts w:eastAsia="Times New Roman" w:cs="Calibri"/>
                <w:sz w:val="16"/>
                <w:szCs w:val="16"/>
                <w:lang w:eastAsia="pl-PL"/>
              </w:rPr>
              <w:t>24 </w:t>
            </w:r>
            <w:r w:rsidR="004B2D05" w:rsidRPr="004B2D05">
              <w:rPr>
                <w:rFonts w:eastAsia="Times New Roman" w:cs="Calibri"/>
                <w:sz w:val="16"/>
                <w:szCs w:val="16"/>
                <w:lang w:eastAsia="pl-PL"/>
              </w:rPr>
              <w:t>224</w:t>
            </w:r>
            <w:r w:rsidRPr="004B2D0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4B2D05" w:rsidRPr="004B2D05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  <w:p w:rsidR="002204FF" w:rsidRP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4B2D05">
              <w:rPr>
                <w:rFonts w:eastAsia="Times New Roman" w:cs="Calibri"/>
                <w:sz w:val="16"/>
                <w:szCs w:val="16"/>
                <w:lang w:eastAsia="pl-PL"/>
              </w:rPr>
              <w:t>1 </w:t>
            </w:r>
            <w:r w:rsidR="004B2D05" w:rsidRPr="004B2D05">
              <w:rPr>
                <w:rFonts w:eastAsia="Times New Roman" w:cs="Calibri"/>
                <w:sz w:val="16"/>
                <w:szCs w:val="16"/>
                <w:lang w:eastAsia="pl-PL"/>
              </w:rPr>
              <w:t>101</w:t>
            </w:r>
            <w:r w:rsidRPr="004B2D0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4B2D05" w:rsidRPr="004B2D05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7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2204FF" w:rsidRPr="00C50B55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50B55">
              <w:rPr>
                <w:rFonts w:eastAsia="Times New Roman" w:cs="Calibri"/>
                <w:sz w:val="16"/>
                <w:szCs w:val="16"/>
                <w:lang w:eastAsia="pl-PL"/>
              </w:rPr>
              <w:t>100,</w:t>
            </w:r>
            <w:r w:rsidR="00C50B55" w:rsidRPr="00C50B5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  <w:p w:rsidR="002204FF" w:rsidRPr="00C50B55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50B55">
              <w:rPr>
                <w:rFonts w:eastAsia="Times New Roman" w:cs="Calibri"/>
                <w:sz w:val="16"/>
                <w:szCs w:val="16"/>
                <w:lang w:eastAsia="pl-PL"/>
              </w:rPr>
              <w:t>100,</w:t>
            </w:r>
            <w:r w:rsidR="00C50B55" w:rsidRPr="00C50B55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  <w:p w:rsidR="002204FF" w:rsidRP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C50B55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C50B55" w:rsidRPr="00C50B55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Pr="00C50B5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C50B55" w:rsidRPr="00C50B5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</w:tr>
      <w:tr w:rsidR="002204FF" w:rsidRPr="0038453C" w:rsidTr="00344C3E">
        <w:trPr>
          <w:trHeight w:val="20"/>
        </w:trPr>
        <w:tc>
          <w:tcPr>
            <w:tcW w:w="429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Sieć cieplna przesyłowa i rozdzielcza w km (stan na 31 grudnia)</w:t>
            </w:r>
          </w:p>
        </w:tc>
        <w:tc>
          <w:tcPr>
            <w:tcW w:w="897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Pr="0010120A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012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 w:rsidRPr="001012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381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,2</w:t>
            </w:r>
          </w:p>
        </w:tc>
        <w:tc>
          <w:tcPr>
            <w:tcW w:w="897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Pr="00E60CCE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97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Pr="00EC3C51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C3C51">
              <w:rPr>
                <w:rFonts w:eastAsia="Times New Roman" w:cs="Calibri"/>
                <w:sz w:val="16"/>
                <w:szCs w:val="16"/>
                <w:lang w:eastAsia="pl-PL"/>
              </w:rPr>
              <w:t>16 </w:t>
            </w:r>
            <w:r w:rsidR="004B2D05" w:rsidRPr="00EC3C51">
              <w:rPr>
                <w:rFonts w:eastAsia="Times New Roman" w:cs="Calibri"/>
                <w:sz w:val="16"/>
                <w:szCs w:val="16"/>
                <w:lang w:eastAsia="pl-PL"/>
              </w:rPr>
              <w:t>537</w:t>
            </w:r>
            <w:r w:rsidRPr="00EC3C5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4B2D05" w:rsidRPr="00EC3C51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7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Pr="00CF0589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CF0589" w:rsidRPr="00CF0589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CF0589" w:rsidRPr="00CF0589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</w:tr>
      <w:tr w:rsidR="002204FF" w:rsidRPr="0038453C" w:rsidTr="002B7E4E">
        <w:trPr>
          <w:trHeight w:val="492"/>
        </w:trPr>
        <w:tc>
          <w:tcPr>
            <w:tcW w:w="4290" w:type="dxa"/>
            <w:tcBorders>
              <w:top w:val="nil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miasta</w:t>
            </w:r>
          </w:p>
          <w:p w:rsidR="002204FF" w:rsidRDefault="002204FF" w:rsidP="002204FF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897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15 649,2</w:t>
            </w:r>
          </w:p>
          <w:p w:rsidR="002204FF" w:rsidRPr="0010120A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732,0</w:t>
            </w:r>
          </w:p>
        </w:tc>
        <w:tc>
          <w:tcPr>
            <w:tcW w:w="897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100,8</w:t>
            </w:r>
          </w:p>
          <w:p w:rsidR="002204FF" w:rsidRPr="00E60CCE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94,1</w:t>
            </w:r>
          </w:p>
        </w:tc>
        <w:tc>
          <w:tcPr>
            <w:tcW w:w="897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</w:tcPr>
          <w:p w:rsidR="002204FF" w:rsidRPr="00EC3C51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C3C51">
              <w:rPr>
                <w:rFonts w:eastAsia="Times New Roman" w:cs="Calibri"/>
                <w:sz w:val="16"/>
                <w:szCs w:val="16"/>
                <w:lang w:eastAsia="pl-PL"/>
              </w:rPr>
              <w:t>15 </w:t>
            </w:r>
            <w:r w:rsidR="004B2D05" w:rsidRPr="00EC3C51">
              <w:rPr>
                <w:rFonts w:eastAsia="Times New Roman" w:cs="Calibri"/>
                <w:sz w:val="16"/>
                <w:szCs w:val="16"/>
                <w:lang w:eastAsia="pl-PL"/>
              </w:rPr>
              <w:t>861</w:t>
            </w:r>
            <w:r w:rsidRPr="00EC3C5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4B2D05" w:rsidRPr="00EC3C51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  <w:p w:rsidR="002204FF" w:rsidRPr="00EC3C51" w:rsidRDefault="004B2D05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C3C51">
              <w:rPr>
                <w:rFonts w:eastAsia="Times New Roman" w:cs="Calibri"/>
                <w:sz w:val="16"/>
                <w:szCs w:val="16"/>
                <w:lang w:eastAsia="pl-PL"/>
              </w:rPr>
              <w:t>711</w:t>
            </w:r>
            <w:r w:rsidR="002204FF" w:rsidRPr="00EC3C5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EC3C51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7" w:type="dxa"/>
            <w:tcBorders>
              <w:top w:val="nil"/>
              <w:left w:val="single" w:sz="4" w:space="0" w:color="001D77"/>
              <w:bottom w:val="single" w:sz="4" w:space="0" w:color="auto"/>
            </w:tcBorders>
            <w:shd w:val="clear" w:color="auto" w:fill="auto"/>
            <w:vAlign w:val="center"/>
          </w:tcPr>
          <w:p w:rsidR="002204FF" w:rsidRPr="00CF0589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CF0589" w:rsidRPr="00CF0589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CF0589" w:rsidRPr="00CF0589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  <w:p w:rsidR="002204FF" w:rsidRPr="00CF0589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CF0589" w:rsidRPr="00CF0589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CF0589" w:rsidRPr="00CF0589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</w:tr>
      <w:tr w:rsidR="002204FF" w:rsidRPr="0038453C" w:rsidTr="002B7E4E">
        <w:trPr>
          <w:trHeight w:val="871"/>
        </w:trPr>
        <w:tc>
          <w:tcPr>
            <w:tcW w:w="4290" w:type="dxa"/>
            <w:tcBorders>
              <w:top w:val="nil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Przyłącza do budynków w km (stan na 31 grudnia)</w:t>
            </w:r>
          </w:p>
          <w:p w:rsidR="002204FF" w:rsidRDefault="002204FF" w:rsidP="002204FF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miasta </w:t>
            </w:r>
          </w:p>
          <w:p w:rsidR="002204FF" w:rsidRDefault="002204FF" w:rsidP="002204FF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012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 w:rsidRPr="001012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869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,4</w:t>
            </w:r>
          </w:p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8 469,7</w:t>
            </w:r>
          </w:p>
          <w:p w:rsidR="002204FF" w:rsidRPr="0010120A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399,7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60CC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99,4</w:t>
            </w:r>
          </w:p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</w:t>
            </w:r>
          </w:p>
          <w:p w:rsidR="002204FF" w:rsidRPr="00E60CCE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87,9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vAlign w:val="center"/>
          </w:tcPr>
          <w:p w:rsidR="002204FF" w:rsidRPr="008E53D2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53D2">
              <w:rPr>
                <w:rFonts w:eastAsia="Times New Roman" w:cs="Calibri"/>
                <w:sz w:val="16"/>
                <w:szCs w:val="16"/>
                <w:lang w:eastAsia="pl-PL"/>
              </w:rPr>
              <w:t>8 </w:t>
            </w:r>
            <w:r w:rsidR="008E53D2" w:rsidRPr="008E53D2">
              <w:rPr>
                <w:rFonts w:eastAsia="Times New Roman" w:cs="Calibri"/>
                <w:sz w:val="16"/>
                <w:szCs w:val="16"/>
                <w:lang w:eastAsia="pl-PL"/>
              </w:rPr>
              <w:t>752</w:t>
            </w:r>
            <w:r w:rsidRPr="008E53D2">
              <w:rPr>
                <w:rFonts w:eastAsia="Times New Roman" w:cs="Calibri"/>
                <w:sz w:val="16"/>
                <w:szCs w:val="16"/>
                <w:lang w:eastAsia="pl-PL"/>
              </w:rPr>
              <w:t>,4</w:t>
            </w:r>
          </w:p>
          <w:p w:rsidR="002204FF" w:rsidRPr="008E53D2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53D2">
              <w:rPr>
                <w:rFonts w:eastAsia="Times New Roman" w:cs="Calibri"/>
                <w:sz w:val="16"/>
                <w:szCs w:val="16"/>
                <w:lang w:eastAsia="pl-PL"/>
              </w:rPr>
              <w:t>8 </w:t>
            </w:r>
            <w:r w:rsidR="008E53D2" w:rsidRPr="008E53D2">
              <w:rPr>
                <w:rFonts w:eastAsia="Times New Roman" w:cs="Calibri"/>
                <w:sz w:val="16"/>
                <w:szCs w:val="16"/>
                <w:lang w:eastAsia="pl-PL"/>
              </w:rPr>
              <w:t>362</w:t>
            </w:r>
            <w:r w:rsidRPr="008E53D2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8E53D2" w:rsidRPr="008E53D2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  <w:p w:rsidR="002204FF" w:rsidRP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8E53D2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="008E53D2" w:rsidRPr="008E53D2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8E53D2">
              <w:rPr>
                <w:rFonts w:eastAsia="Times New Roman" w:cs="Calibri"/>
                <w:sz w:val="16"/>
                <w:szCs w:val="16"/>
                <w:lang w:eastAsia="pl-PL"/>
              </w:rPr>
              <w:t>9,</w:t>
            </w:r>
            <w:r w:rsidR="008E53D2" w:rsidRPr="008E53D2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vAlign w:val="center"/>
          </w:tcPr>
          <w:p w:rsidR="002204FF" w:rsidRPr="00CF0589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CF0589" w:rsidRPr="00CF0589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CF0589" w:rsidRPr="00CF0589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  <w:p w:rsidR="002204FF" w:rsidRPr="00CF0589" w:rsidRDefault="00CF0589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98</w:t>
            </w:r>
            <w:r w:rsidR="002204FF" w:rsidRPr="00CF0589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  <w:p w:rsidR="002204FF" w:rsidRPr="00CF0589" w:rsidRDefault="00CF0589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97</w:t>
            </w:r>
            <w:r w:rsidR="002204FF" w:rsidRPr="00CF0589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CF0589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</w:tr>
      <w:tr w:rsidR="002204FF" w:rsidRPr="0038453C" w:rsidTr="002B7E4E">
        <w:trPr>
          <w:trHeight w:val="839"/>
        </w:trPr>
        <w:tc>
          <w:tcPr>
            <w:tcW w:w="4290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Sprzedaż energii cieplnej (w ciągu roku) w tys. TJ</w:t>
            </w:r>
          </w:p>
          <w:p w:rsidR="002204FF" w:rsidRDefault="002204FF" w:rsidP="002204FF">
            <w:pPr>
              <w:spacing w:before="0" w:after="0"/>
              <w:ind w:left="182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miasta </w:t>
            </w:r>
          </w:p>
          <w:p w:rsidR="002204FF" w:rsidRDefault="002204FF" w:rsidP="002204FF">
            <w:pPr>
              <w:spacing w:before="0" w:after="0"/>
              <w:ind w:left="182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897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31AD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191,2</w:t>
            </w:r>
          </w:p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188,4</w:t>
            </w:r>
          </w:p>
          <w:p w:rsidR="002204FF" w:rsidRPr="00331AD3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897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2204FF" w:rsidRPr="00DB2F11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B2F1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98,3</w:t>
            </w:r>
          </w:p>
          <w:p w:rsidR="002204FF" w:rsidRPr="00DB2F11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B2F1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98,3</w:t>
            </w:r>
          </w:p>
          <w:p w:rsidR="002204FF" w:rsidRPr="00FA673D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DB2F1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897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2204FF" w:rsidRPr="00281862" w:rsidRDefault="00281862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183</w:t>
            </w:r>
            <w:r w:rsidR="002204FF" w:rsidRPr="00281862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  <w:p w:rsidR="002204FF" w:rsidRPr="00281862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18</w:t>
            </w:r>
            <w:r w:rsidR="00281862" w:rsidRPr="00281862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281862" w:rsidRPr="00281862">
              <w:rPr>
                <w:rFonts w:eastAsia="Times New Roman" w:cs="Calibri"/>
                <w:sz w:val="16"/>
                <w:szCs w:val="16"/>
                <w:lang w:eastAsia="pl-PL"/>
              </w:rPr>
              <w:t>0</w:t>
            </w:r>
          </w:p>
          <w:p w:rsidR="002204FF" w:rsidRP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897" w:type="dxa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2204FF" w:rsidRPr="00F97564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6E485A" w:rsidRPr="00F97564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6E485A" w:rsidRPr="00F97564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  <w:p w:rsidR="002204FF" w:rsidRPr="00F97564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6E485A" w:rsidRPr="00F97564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6E485A" w:rsidRPr="00F97564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  <w:p w:rsidR="002204FF" w:rsidRPr="00F97564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6E485A" w:rsidRPr="00F97564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6E485A" w:rsidRPr="00F97564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</w:tr>
      <w:tr w:rsidR="002204FF" w:rsidRPr="0038453C" w:rsidTr="002B7E4E">
        <w:trPr>
          <w:trHeight w:val="680"/>
        </w:trPr>
        <w:tc>
          <w:tcPr>
            <w:tcW w:w="429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ind w:left="-14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 energii cieplnej </w:t>
            </w:r>
            <w:r w:rsidRPr="00416F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do budynków mieszkalnych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(w ciągu roku) </w:t>
            </w:r>
            <w:r w:rsidRPr="00416F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tys. </w:t>
            </w:r>
            <w:r w:rsidRPr="00416F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TJ</w:t>
            </w:r>
          </w:p>
          <w:p w:rsidR="002204FF" w:rsidRDefault="002204FF" w:rsidP="002204FF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miasta </w:t>
            </w:r>
          </w:p>
          <w:p w:rsidR="002204FF" w:rsidRPr="00416FC0" w:rsidRDefault="002204FF" w:rsidP="002204FF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obszary wiejskie</w:t>
            </w:r>
          </w:p>
        </w:tc>
        <w:tc>
          <w:tcPr>
            <w:tcW w:w="897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148,6</w:t>
            </w:r>
          </w:p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146,8</w:t>
            </w:r>
          </w:p>
          <w:p w:rsid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1,7</w:t>
            </w:r>
          </w:p>
          <w:p w:rsidR="002204FF" w:rsidRPr="00331AD3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Pr="00DB2F11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99,2</w:t>
            </w:r>
          </w:p>
          <w:p w:rsidR="002204FF" w:rsidRPr="00DB2F11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B2F1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99,1</w:t>
            </w:r>
          </w:p>
          <w:p w:rsidR="002204FF" w:rsidRPr="00DB2F11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B2F1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105,0</w:t>
            </w:r>
          </w:p>
          <w:p w:rsidR="002204FF" w:rsidRPr="00FA673D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Pr="00281862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14</w:t>
            </w:r>
            <w:r w:rsidR="00281862" w:rsidRPr="00281862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281862" w:rsidRPr="00281862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  <w:p w:rsidR="002204FF" w:rsidRPr="00281862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14</w:t>
            </w:r>
            <w:r w:rsidR="00281862" w:rsidRPr="00281862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281862" w:rsidRPr="00281862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  <w:p w:rsidR="002204FF" w:rsidRPr="00281862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81862">
              <w:rPr>
                <w:rFonts w:eastAsia="Times New Roman" w:cs="Calibri"/>
                <w:sz w:val="16"/>
                <w:szCs w:val="16"/>
                <w:lang w:eastAsia="pl-PL"/>
              </w:rPr>
              <w:t>1,7</w:t>
            </w:r>
          </w:p>
          <w:p w:rsidR="002204FF" w:rsidRPr="002204FF" w:rsidRDefault="002204FF" w:rsidP="002204FF">
            <w:pPr>
              <w:spacing w:before="0" w:after="0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204FF" w:rsidRPr="00F97564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F97564" w:rsidRPr="00F97564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97564" w:rsidRPr="00F97564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  <w:p w:rsidR="002204FF" w:rsidRPr="00F97564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="00F97564" w:rsidRPr="00F97564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97564" w:rsidRPr="00F97564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  <w:p w:rsidR="002204FF" w:rsidRPr="00F97564" w:rsidRDefault="00F97564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98</w:t>
            </w:r>
            <w:r w:rsidR="002204FF" w:rsidRPr="00F97564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F97564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  <w:p w:rsidR="002204FF" w:rsidRPr="00F97564" w:rsidRDefault="002204FF" w:rsidP="002204FF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BF1FD8" w:rsidRDefault="00BF1FD8">
      <w:pPr>
        <w:spacing w:before="0" w:after="160" w:line="259" w:lineRule="auto"/>
        <w:rPr>
          <w:b/>
          <w:spacing w:val="-2"/>
          <w:sz w:val="18"/>
        </w:rPr>
      </w:pPr>
      <w:r>
        <w:rPr>
          <w:b/>
          <w:spacing w:val="-2"/>
          <w:sz w:val="18"/>
        </w:rPr>
        <w:br w:type="page"/>
      </w:r>
    </w:p>
    <w:p w:rsidR="00D7169F" w:rsidRDefault="00D7169F" w:rsidP="00D7169F">
      <w:pPr>
        <w:spacing w:before="0" w:after="0"/>
        <w:rPr>
          <w:b/>
          <w:spacing w:val="-2"/>
          <w:sz w:val="18"/>
        </w:rPr>
      </w:pPr>
      <w:r w:rsidRPr="00D37B62">
        <w:rPr>
          <w:b/>
          <w:spacing w:val="-2"/>
          <w:sz w:val="18"/>
        </w:rPr>
        <w:lastRenderedPageBreak/>
        <w:t xml:space="preserve">Wykres </w:t>
      </w:r>
      <w:r w:rsidRPr="00365544">
        <w:rPr>
          <w:b/>
          <w:spacing w:val="-2"/>
          <w:sz w:val="18"/>
        </w:rPr>
        <w:t xml:space="preserve">3. </w:t>
      </w:r>
      <w:r w:rsidR="001233FA" w:rsidRPr="00365544">
        <w:rPr>
          <w:b/>
          <w:spacing w:val="-2"/>
          <w:sz w:val="18"/>
        </w:rPr>
        <w:t>Długość</w:t>
      </w:r>
      <w:r w:rsidRPr="00365544">
        <w:rPr>
          <w:b/>
          <w:spacing w:val="-2"/>
          <w:sz w:val="18"/>
        </w:rPr>
        <w:t xml:space="preserve"> sieci cieplnej </w:t>
      </w:r>
      <w:r w:rsidR="00EE48FE">
        <w:rPr>
          <w:b/>
          <w:spacing w:val="-2"/>
          <w:sz w:val="18"/>
        </w:rPr>
        <w:t>– stan na 31.12.</w:t>
      </w:r>
      <w:r w:rsidRPr="00365544">
        <w:rPr>
          <w:b/>
          <w:spacing w:val="-2"/>
          <w:sz w:val="18"/>
        </w:rPr>
        <w:t>20</w:t>
      </w:r>
      <w:r w:rsidR="00F75718">
        <w:rPr>
          <w:b/>
          <w:spacing w:val="-2"/>
          <w:sz w:val="18"/>
        </w:rPr>
        <w:t>20</w:t>
      </w:r>
      <w:r w:rsidRPr="00365544">
        <w:rPr>
          <w:b/>
          <w:spacing w:val="-2"/>
          <w:sz w:val="18"/>
        </w:rPr>
        <w:t xml:space="preserve"> r.</w:t>
      </w:r>
    </w:p>
    <w:p w:rsidR="00BF1FD8" w:rsidRPr="00450EF2" w:rsidRDefault="00BF1FD8" w:rsidP="00D7169F">
      <w:pPr>
        <w:spacing w:before="0" w:after="0"/>
        <w:rPr>
          <w:b/>
          <w:spacing w:val="-2"/>
          <w:sz w:val="18"/>
        </w:rPr>
      </w:pPr>
    </w:p>
    <w:p w:rsidR="00D7169F" w:rsidRPr="00E55C76" w:rsidRDefault="00D7169F" w:rsidP="00D7169F">
      <w:pPr>
        <w:spacing w:before="0" w:after="0"/>
        <w:jc w:val="both"/>
        <w:rPr>
          <w:spacing w:val="-2"/>
          <w:sz w:val="12"/>
          <w:szCs w:val="12"/>
          <w:highlight w:val="yellow"/>
        </w:rPr>
      </w:pPr>
      <w:r w:rsidRPr="00E55C76">
        <w:rPr>
          <w:noProof/>
          <w:highlight w:val="yellow"/>
          <w:lang w:val="en-GB" w:eastAsia="en-GB"/>
        </w:rPr>
        <w:drawing>
          <wp:anchor distT="0" distB="0" distL="114300" distR="114300" simplePos="0" relativeHeight="251782144" behindDoc="0" locked="0" layoutInCell="1" allowOverlap="1" wp14:anchorId="29EA3036" wp14:editId="042767E2">
            <wp:simplePos x="0" y="0"/>
            <wp:positionH relativeFrom="margin">
              <wp:posOffset>-2643</wp:posOffset>
            </wp:positionH>
            <wp:positionV relativeFrom="paragraph">
              <wp:posOffset>156438</wp:posOffset>
            </wp:positionV>
            <wp:extent cx="5137554" cy="4365863"/>
            <wp:effectExtent l="0" t="0" r="6350" b="0"/>
            <wp:wrapNone/>
            <wp:docPr id="15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69F" w:rsidRPr="00E55C76" w:rsidRDefault="00D7169F" w:rsidP="00D7169F">
      <w:pPr>
        <w:spacing w:before="0" w:after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BF1FD8" w:rsidRDefault="008378F0" w:rsidP="00D7169F">
      <w:pPr>
        <w:spacing w:before="0"/>
        <w:rPr>
          <w:spacing w:val="-2"/>
          <w:szCs w:val="19"/>
        </w:rPr>
      </w:pPr>
      <w:r w:rsidRPr="00E55C76">
        <w:rPr>
          <w:b/>
          <w:noProof/>
          <w:color w:val="212492"/>
          <w:spacing w:val="-2"/>
          <w:sz w:val="12"/>
          <w:szCs w:val="12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294034AA" wp14:editId="02B6B538">
                <wp:simplePos x="0" y="0"/>
                <wp:positionH relativeFrom="column">
                  <wp:posOffset>5214620</wp:posOffset>
                </wp:positionH>
                <wp:positionV relativeFrom="paragraph">
                  <wp:posOffset>154561</wp:posOffset>
                </wp:positionV>
                <wp:extent cx="1567180" cy="868363"/>
                <wp:effectExtent l="0" t="0" r="0" b="0"/>
                <wp:wrapTight wrapText="bothSides">
                  <wp:wrapPolygon edited="0">
                    <wp:start x="788" y="0"/>
                    <wp:lineTo x="788" y="20857"/>
                    <wp:lineTo x="20742" y="20857"/>
                    <wp:lineTo x="20742" y="0"/>
                    <wp:lineTo x="788" y="0"/>
                  </wp:wrapPolygon>
                </wp:wrapTight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868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3D2" w:rsidRPr="00074DD8" w:rsidRDefault="008E53D2" w:rsidP="00D7169F">
                            <w:pPr>
                              <w:pStyle w:val="tekstzboku"/>
                              <w:spacing w:before="0"/>
                            </w:pPr>
                            <w:r w:rsidRPr="006E5827">
                              <w:t>Ponad 98% energii cieplnej sprzedano mieszkańcom miast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34AA" id="_x0000_s1031" type="#_x0000_t202" style="position:absolute;margin-left:410.6pt;margin-top:12.15pt;width:123.4pt;height:68.4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" filled="f" stroked="f">
                <v:textbox>
                  <w:txbxContent>
                    <w:p w:rsidR="008E53D2" w:rsidRPr="00074DD8" w:rsidRDefault="008E53D2" w:rsidP="00D7169F">
                      <w:pPr>
                        <w:pStyle w:val="tekstzboku"/>
                        <w:spacing w:before="0"/>
                      </w:pPr>
                      <w:r w:rsidRPr="006E5827">
                        <w:t>Ponad 98% energii cieplnej sprzedano mieszkańcom miast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7169F" w:rsidRPr="00D74CA0" w:rsidRDefault="00D7169F" w:rsidP="00D7169F">
      <w:pPr>
        <w:spacing w:before="0"/>
        <w:rPr>
          <w:spacing w:val="-2"/>
          <w:szCs w:val="19"/>
        </w:rPr>
      </w:pPr>
      <w:r w:rsidRPr="00174A10">
        <w:rPr>
          <w:spacing w:val="-2"/>
          <w:szCs w:val="19"/>
        </w:rPr>
        <w:t>W 20</w:t>
      </w:r>
      <w:r w:rsidR="00034277">
        <w:rPr>
          <w:spacing w:val="-2"/>
          <w:szCs w:val="19"/>
        </w:rPr>
        <w:t>20</w:t>
      </w:r>
      <w:r w:rsidRPr="00174A10">
        <w:rPr>
          <w:spacing w:val="-2"/>
          <w:szCs w:val="19"/>
        </w:rPr>
        <w:t xml:space="preserve"> r. sprzedano </w:t>
      </w:r>
      <w:r w:rsidR="00034277">
        <w:rPr>
          <w:spacing w:val="-2"/>
          <w:szCs w:val="19"/>
        </w:rPr>
        <w:t>183</w:t>
      </w:r>
      <w:r w:rsidR="00174A10" w:rsidRPr="00174A10">
        <w:rPr>
          <w:spacing w:val="-2"/>
          <w:szCs w:val="19"/>
        </w:rPr>
        <w:t>,</w:t>
      </w:r>
      <w:r w:rsidR="00034277">
        <w:rPr>
          <w:spacing w:val="-2"/>
          <w:szCs w:val="19"/>
        </w:rPr>
        <w:t>7</w:t>
      </w:r>
      <w:r w:rsidRPr="00174A10">
        <w:rPr>
          <w:spacing w:val="-2"/>
          <w:szCs w:val="19"/>
        </w:rPr>
        <w:t xml:space="preserve"> tys. TJ energii cieplnej, z czego na potrzeby ogrzewania budynków mieszkalnych </w:t>
      </w:r>
      <w:r w:rsidR="00720BDF" w:rsidRPr="00174A10">
        <w:rPr>
          <w:spacing w:val="-2"/>
          <w:szCs w:val="19"/>
        </w:rPr>
        <w:t>1</w:t>
      </w:r>
      <w:r w:rsidR="00720BDF">
        <w:rPr>
          <w:spacing w:val="-2"/>
          <w:szCs w:val="19"/>
        </w:rPr>
        <w:t>4</w:t>
      </w:r>
      <w:r w:rsidR="00034277">
        <w:rPr>
          <w:spacing w:val="-2"/>
          <w:szCs w:val="19"/>
        </w:rPr>
        <w:t>5</w:t>
      </w:r>
      <w:r w:rsidR="00174A10" w:rsidRPr="00174A10">
        <w:rPr>
          <w:spacing w:val="-2"/>
          <w:szCs w:val="19"/>
        </w:rPr>
        <w:t>,</w:t>
      </w:r>
      <w:r w:rsidR="00034277">
        <w:rPr>
          <w:spacing w:val="-2"/>
          <w:szCs w:val="19"/>
        </w:rPr>
        <w:t>3</w:t>
      </w:r>
      <w:r w:rsidR="00720BDF">
        <w:rPr>
          <w:spacing w:val="-2"/>
          <w:szCs w:val="19"/>
        </w:rPr>
        <w:t xml:space="preserve"> </w:t>
      </w:r>
      <w:r w:rsidRPr="00174A10">
        <w:rPr>
          <w:spacing w:val="-2"/>
          <w:szCs w:val="19"/>
        </w:rPr>
        <w:t xml:space="preserve">tys. TJ </w:t>
      </w:r>
      <w:r w:rsidRPr="006E5827">
        <w:rPr>
          <w:spacing w:val="-2"/>
          <w:szCs w:val="19"/>
        </w:rPr>
        <w:t>(</w:t>
      </w:r>
      <w:r w:rsidR="006E5827" w:rsidRPr="00D74CA0">
        <w:rPr>
          <w:spacing w:val="-2"/>
          <w:szCs w:val="19"/>
        </w:rPr>
        <w:t>7</w:t>
      </w:r>
      <w:r w:rsidR="00034277">
        <w:rPr>
          <w:spacing w:val="-2"/>
          <w:szCs w:val="19"/>
        </w:rPr>
        <w:t>9</w:t>
      </w:r>
      <w:r w:rsidR="006E5827" w:rsidRPr="00D74CA0">
        <w:rPr>
          <w:spacing w:val="-2"/>
          <w:szCs w:val="19"/>
        </w:rPr>
        <w:t>,</w:t>
      </w:r>
      <w:r w:rsidR="00034277">
        <w:rPr>
          <w:spacing w:val="-2"/>
          <w:szCs w:val="19"/>
        </w:rPr>
        <w:t>1</w:t>
      </w:r>
      <w:r w:rsidRPr="006E5827">
        <w:rPr>
          <w:spacing w:val="-2"/>
          <w:szCs w:val="19"/>
        </w:rPr>
        <w:t>%).</w:t>
      </w:r>
      <w:r w:rsidRPr="00174A10">
        <w:rPr>
          <w:spacing w:val="-2"/>
          <w:szCs w:val="19"/>
        </w:rPr>
        <w:t xml:space="preserve"> </w:t>
      </w:r>
      <w:r w:rsidRPr="00D74CA0">
        <w:rPr>
          <w:spacing w:val="-2"/>
          <w:szCs w:val="19"/>
        </w:rPr>
        <w:t xml:space="preserve">Około </w:t>
      </w:r>
      <w:r w:rsidR="006E5827">
        <w:rPr>
          <w:spacing w:val="-2"/>
          <w:szCs w:val="19"/>
        </w:rPr>
        <w:t>1</w:t>
      </w:r>
      <w:r w:rsidR="00331AD3">
        <w:rPr>
          <w:spacing w:val="-2"/>
          <w:szCs w:val="19"/>
        </w:rPr>
        <w:t>8</w:t>
      </w:r>
      <w:r w:rsidR="00F454A0">
        <w:rPr>
          <w:spacing w:val="-2"/>
          <w:szCs w:val="19"/>
        </w:rPr>
        <w:t>1</w:t>
      </w:r>
      <w:r w:rsidR="006E5827">
        <w:rPr>
          <w:spacing w:val="-2"/>
          <w:szCs w:val="19"/>
        </w:rPr>
        <w:t>,</w:t>
      </w:r>
      <w:r w:rsidR="00F454A0">
        <w:rPr>
          <w:spacing w:val="-2"/>
          <w:szCs w:val="19"/>
        </w:rPr>
        <w:t>0</w:t>
      </w:r>
      <w:r w:rsidRPr="00D74CA0">
        <w:rPr>
          <w:spacing w:val="-2"/>
          <w:szCs w:val="19"/>
        </w:rPr>
        <w:t xml:space="preserve"> tys. TJ (98,</w:t>
      </w:r>
      <w:r w:rsidR="00BC2B3A">
        <w:rPr>
          <w:spacing w:val="-2"/>
          <w:szCs w:val="19"/>
        </w:rPr>
        <w:t>5</w:t>
      </w:r>
      <w:r w:rsidRPr="00D74CA0">
        <w:rPr>
          <w:spacing w:val="-2"/>
          <w:szCs w:val="19"/>
        </w:rPr>
        <w:t xml:space="preserve">%) energii cieplnej sprzedano mieszkańcom miast, w tym około </w:t>
      </w:r>
      <w:r w:rsidR="006E5827">
        <w:rPr>
          <w:spacing w:val="-2"/>
          <w:szCs w:val="19"/>
        </w:rPr>
        <w:t>14</w:t>
      </w:r>
      <w:r w:rsidR="00BC2B3A">
        <w:rPr>
          <w:spacing w:val="-2"/>
          <w:szCs w:val="19"/>
        </w:rPr>
        <w:t>3</w:t>
      </w:r>
      <w:r w:rsidR="006E5827">
        <w:rPr>
          <w:spacing w:val="-2"/>
          <w:szCs w:val="19"/>
        </w:rPr>
        <w:t>,</w:t>
      </w:r>
      <w:r w:rsidR="00BC2B3A">
        <w:rPr>
          <w:spacing w:val="-2"/>
          <w:szCs w:val="19"/>
        </w:rPr>
        <w:t>6</w:t>
      </w:r>
      <w:r w:rsidRPr="00D74CA0">
        <w:rPr>
          <w:spacing w:val="-2"/>
          <w:szCs w:val="19"/>
        </w:rPr>
        <w:t xml:space="preserve"> tys. TJ na potrzeby ogrzewania budynków mieszkalnych.</w:t>
      </w:r>
    </w:p>
    <w:p w:rsidR="000E1AAC" w:rsidRDefault="000E1AAC" w:rsidP="00D62C8F">
      <w:pPr>
        <w:spacing w:before="0"/>
        <w:rPr>
          <w:spacing w:val="-2"/>
          <w:szCs w:val="19"/>
        </w:rPr>
      </w:pPr>
      <w:r>
        <w:rPr>
          <w:spacing w:val="-2"/>
          <w:szCs w:val="19"/>
        </w:rPr>
        <w:t xml:space="preserve">W strukturze produkcji energii cieplnej na cele grzewcze największy udział stanowiły paliwa stałe </w:t>
      </w:r>
      <w:r w:rsidRPr="00857311">
        <w:rPr>
          <w:spacing w:val="-2"/>
          <w:szCs w:val="19"/>
        </w:rPr>
        <w:t>(62,5%)</w:t>
      </w:r>
      <w:r>
        <w:rPr>
          <w:spacing w:val="-2"/>
          <w:szCs w:val="19"/>
        </w:rPr>
        <w:t xml:space="preserve"> oraz gaz </w:t>
      </w:r>
      <w:r w:rsidRPr="00857311">
        <w:rPr>
          <w:spacing w:val="-2"/>
          <w:szCs w:val="19"/>
        </w:rPr>
        <w:t>(36,0%)</w:t>
      </w:r>
      <w:r>
        <w:rPr>
          <w:spacing w:val="-2"/>
          <w:szCs w:val="19"/>
        </w:rPr>
        <w:t xml:space="preserve">, najmniej energii natomiast wyprodukowano przy wykorzystaniu paliw olejowych </w:t>
      </w:r>
      <w:r w:rsidRPr="00857311">
        <w:rPr>
          <w:spacing w:val="-2"/>
          <w:szCs w:val="19"/>
        </w:rPr>
        <w:t>(1,5%)</w:t>
      </w:r>
      <w:r>
        <w:rPr>
          <w:spacing w:val="-2"/>
          <w:szCs w:val="19"/>
        </w:rPr>
        <w:t>.</w:t>
      </w:r>
    </w:p>
    <w:p w:rsidR="0004667A" w:rsidRDefault="0004667A">
      <w:pPr>
        <w:spacing w:before="0" w:after="160" w:line="259" w:lineRule="auto"/>
        <w:rPr>
          <w:spacing w:val="-2"/>
          <w:szCs w:val="19"/>
        </w:rPr>
      </w:pPr>
    </w:p>
    <w:p w:rsidR="0004667A" w:rsidRDefault="0004667A">
      <w:pPr>
        <w:spacing w:before="0" w:after="160" w:line="259" w:lineRule="auto"/>
        <w:rPr>
          <w:spacing w:val="-2"/>
          <w:szCs w:val="19"/>
        </w:rPr>
      </w:pPr>
    </w:p>
    <w:p w:rsidR="0004667A" w:rsidRDefault="0004667A">
      <w:pPr>
        <w:spacing w:before="0" w:after="160" w:line="259" w:lineRule="auto"/>
        <w:rPr>
          <w:spacing w:val="-2"/>
          <w:szCs w:val="19"/>
        </w:rPr>
      </w:pPr>
    </w:p>
    <w:p w:rsidR="0004667A" w:rsidRDefault="0004667A">
      <w:pPr>
        <w:spacing w:before="0" w:after="160" w:line="259" w:lineRule="auto"/>
        <w:rPr>
          <w:spacing w:val="-2"/>
          <w:szCs w:val="19"/>
        </w:rPr>
      </w:pPr>
    </w:p>
    <w:p w:rsidR="0004667A" w:rsidRDefault="0004667A">
      <w:pPr>
        <w:spacing w:before="0" w:after="160" w:line="259" w:lineRule="auto"/>
        <w:rPr>
          <w:spacing w:val="-2"/>
          <w:szCs w:val="19"/>
        </w:rPr>
      </w:pPr>
    </w:p>
    <w:p w:rsidR="0004667A" w:rsidRDefault="0004667A">
      <w:pPr>
        <w:spacing w:before="0" w:after="160" w:line="259" w:lineRule="auto"/>
        <w:rPr>
          <w:spacing w:val="-2"/>
          <w:szCs w:val="19"/>
        </w:rPr>
      </w:pPr>
    </w:p>
    <w:p w:rsidR="0004667A" w:rsidRDefault="0004667A">
      <w:pPr>
        <w:spacing w:before="0" w:after="160" w:line="259" w:lineRule="auto"/>
        <w:rPr>
          <w:spacing w:val="-2"/>
          <w:szCs w:val="19"/>
        </w:rPr>
      </w:pPr>
    </w:p>
    <w:p w:rsidR="0004667A" w:rsidRDefault="0004667A">
      <w:pPr>
        <w:spacing w:before="0" w:after="160" w:line="259" w:lineRule="auto"/>
        <w:rPr>
          <w:spacing w:val="-2"/>
          <w:szCs w:val="19"/>
        </w:rPr>
      </w:pPr>
    </w:p>
    <w:p w:rsidR="0004667A" w:rsidRDefault="0004667A">
      <w:pPr>
        <w:spacing w:before="0" w:after="160" w:line="259" w:lineRule="auto"/>
        <w:rPr>
          <w:spacing w:val="-2"/>
          <w:szCs w:val="19"/>
        </w:rPr>
      </w:pPr>
    </w:p>
    <w:p w:rsidR="0004667A" w:rsidRDefault="0004667A" w:rsidP="0004667A">
      <w:pPr>
        <w:ind w:left="84"/>
        <w:rPr>
          <w:sz w:val="18"/>
        </w:rPr>
      </w:pPr>
      <w:r>
        <w:rPr>
          <w:spacing w:val="-2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</w:t>
      </w:r>
      <w:r w:rsidR="00CA0889">
        <w:rPr>
          <w:spacing w:val="-2"/>
          <w:szCs w:val="19"/>
        </w:rPr>
        <w:t>.</w:t>
      </w:r>
    </w:p>
    <w:p w:rsidR="00636D21" w:rsidRDefault="00636D21">
      <w:pPr>
        <w:spacing w:before="0" w:after="160" w:line="259" w:lineRule="auto"/>
        <w:rPr>
          <w:spacing w:val="-2"/>
          <w:szCs w:val="19"/>
        </w:rPr>
      </w:pPr>
      <w:r>
        <w:rPr>
          <w:spacing w:val="-2"/>
          <w:szCs w:val="19"/>
        </w:rPr>
        <w:br w:type="page"/>
      </w:r>
    </w:p>
    <w:p w:rsidR="00694AF0" w:rsidRPr="00001C5B" w:rsidRDefault="00694AF0" w:rsidP="00D62C8F">
      <w:pPr>
        <w:spacing w:before="0"/>
        <w:rPr>
          <w:sz w:val="18"/>
        </w:rPr>
        <w:sectPr w:rsidR="00694AF0" w:rsidRPr="00001C5B" w:rsidSect="00D7169F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7" w:bottom="720" w:left="720" w:header="284" w:footer="284" w:gutter="0"/>
          <w:cols w:space="708"/>
          <w:titlePg/>
          <w:docGrid w:linePitch="360"/>
        </w:sectPr>
      </w:pPr>
    </w:p>
    <w:p w:rsidR="00636D21" w:rsidRDefault="00636D21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6"/>
        <w:gridCol w:w="3821"/>
      </w:tblGrid>
      <w:tr w:rsidR="000470AA" w:rsidRPr="00636D21" w:rsidTr="00D7169F">
        <w:trPr>
          <w:trHeight w:val="1912"/>
        </w:trPr>
        <w:tc>
          <w:tcPr>
            <w:tcW w:w="4246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660001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D7169F" w:rsidRPr="00BB4F09" w:rsidRDefault="00636D21" w:rsidP="00D7169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D7169F" w:rsidRPr="008F3638" w:rsidRDefault="00D7169F" w:rsidP="00D7169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</w:t>
            </w:r>
            <w:r w:rsidR="006B7C3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.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: 22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636D2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636D2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67</w:t>
            </w:r>
          </w:p>
          <w:p w:rsidR="000470AA" w:rsidRPr="008F3638" w:rsidRDefault="000470AA" w:rsidP="00D7169F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21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F178F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</w:t>
            </w:r>
            <w:r w:rsidR="006B7C3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.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: </w:t>
            </w:r>
            <w:r w:rsidR="00636D2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695 255 011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636D21">
        <w:trPr>
          <w:trHeight w:val="610"/>
        </w:trPr>
        <w:tc>
          <w:tcPr>
            <w:tcW w:w="2721" w:type="pct"/>
            <w:vMerge w:val="restart"/>
          </w:tcPr>
          <w:p w:rsidR="000470AA" w:rsidRPr="00C91687" w:rsidRDefault="000470AA" w:rsidP="005368A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543645" w:rsidP="005368AE">
            <w:pPr>
              <w:rPr>
                <w:sz w:val="20"/>
              </w:rPr>
            </w:pPr>
            <w:r w:rsidRPr="00543645">
              <w:rPr>
                <w:sz w:val="20"/>
              </w:rPr>
              <w:t>Tel</w:t>
            </w:r>
            <w:r w:rsidR="006B7C3A">
              <w:rPr>
                <w:sz w:val="20"/>
              </w:rPr>
              <w:t>.</w:t>
            </w:r>
            <w:bookmarkStart w:id="0" w:name="_GoBack"/>
            <w:bookmarkEnd w:id="0"/>
            <w:r w:rsidRPr="00543645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D144E5" w:rsidRDefault="000470AA" w:rsidP="005368AE">
            <w:pPr>
              <w:rPr>
                <w:sz w:val="18"/>
                <w:lang w:val="en-US"/>
              </w:rPr>
            </w:pPr>
            <w:r w:rsidRPr="00D144E5">
              <w:rPr>
                <w:b/>
                <w:sz w:val="20"/>
                <w:lang w:val="en-US"/>
              </w:rPr>
              <w:t>e-mail:</w:t>
            </w:r>
            <w:r w:rsidR="005368AE">
              <w:rPr>
                <w:b/>
                <w:sz w:val="20"/>
                <w:lang w:val="en-US"/>
              </w:rPr>
              <w:t xml:space="preserve"> </w:t>
            </w:r>
            <w:hyperlink r:id="rId19" w:history="1">
              <w:r w:rsidRPr="005368AE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D144E5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3B321CA8" wp14:editId="0C82221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636D21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776283A6" wp14:editId="1961797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636D21" w:rsidTr="00636D21">
        <w:trPr>
          <w:trHeight w:val="436"/>
        </w:trPr>
        <w:tc>
          <w:tcPr>
            <w:tcW w:w="2721" w:type="pct"/>
            <w:vMerge/>
            <w:vAlign w:val="center"/>
          </w:tcPr>
          <w:p w:rsidR="00636D21" w:rsidRDefault="00636D21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636D21" w:rsidRDefault="00636D21" w:rsidP="000470AA">
            <w:pPr>
              <w:rPr>
                <w:noProof/>
                <w:sz w:val="20"/>
                <w:lang w:val="en-GB" w:eastAsia="en-GB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84192" behindDoc="0" locked="0" layoutInCell="1" allowOverlap="1" wp14:anchorId="207043A7" wp14:editId="36B55A2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74930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bottom"/>
          </w:tcPr>
          <w:p w:rsidR="00636D21" w:rsidRPr="003D5F42" w:rsidRDefault="00636D21" w:rsidP="00636D21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  <w:tr w:rsidR="00636D21" w:rsidTr="00636D21">
        <w:trPr>
          <w:trHeight w:val="436"/>
        </w:trPr>
        <w:tc>
          <w:tcPr>
            <w:tcW w:w="2721" w:type="pct"/>
            <w:vMerge/>
            <w:vAlign w:val="center"/>
          </w:tcPr>
          <w:p w:rsidR="00636D21" w:rsidRDefault="00636D21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636D21" w:rsidRDefault="00636D21" w:rsidP="000470AA">
            <w:pPr>
              <w:rPr>
                <w:sz w:val="18"/>
              </w:rPr>
            </w:pPr>
          </w:p>
        </w:tc>
        <w:tc>
          <w:tcPr>
            <w:tcW w:w="1910" w:type="pct"/>
          </w:tcPr>
          <w:p w:rsidR="00636D21" w:rsidRDefault="00636D21" w:rsidP="000470AA">
            <w:pPr>
              <w:rPr>
                <w:sz w:val="20"/>
              </w:rPr>
            </w:pPr>
          </w:p>
        </w:tc>
      </w:tr>
    </w:tbl>
    <w:p w:rsidR="00D261A2" w:rsidRPr="00001C5B" w:rsidRDefault="005D156B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69EB04D" wp14:editId="20DE5DA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3D2" w:rsidRDefault="008E53D2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8E53D2" w:rsidRDefault="008E53D2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:rsidR="00735C17" w:rsidRPr="00735C17" w:rsidRDefault="005E0B13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35C17" w:rsidRPr="00735C1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Gospodarka energetyczna i gazownictwo w 2019 r.</w:t>
                              </w:r>
                            </w:hyperlink>
                          </w:p>
                          <w:p w:rsidR="008E53D2" w:rsidRPr="005368AE" w:rsidRDefault="005E0B13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8E53D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Gospodarka mieszkaniowa i i</w:t>
                              </w:r>
                              <w:r w:rsidR="008E53D2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nfrastruktura komunalna w 201</w:t>
                              </w:r>
                              <w:r w:rsidR="008E53D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9</w:t>
                              </w:r>
                              <w:r w:rsidR="008E53D2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r.</w:t>
                              </w:r>
                            </w:hyperlink>
                          </w:p>
                          <w:p w:rsidR="008E53D2" w:rsidRDefault="008E53D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E53D2" w:rsidRPr="00505A92" w:rsidRDefault="008E53D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E53D2" w:rsidRPr="005368AE" w:rsidRDefault="00B87DE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8E53D2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</w:p>
                          <w:p w:rsidR="008E53D2" w:rsidRPr="00673C26" w:rsidRDefault="00B87DE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8E53D2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Infrastruktura Komunalna i Mieszkaniowa</w:t>
                              </w:r>
                            </w:hyperlink>
                          </w:p>
                          <w:p w:rsidR="008E53D2" w:rsidRDefault="008E53D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E53D2" w:rsidRDefault="008E53D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E53D2" w:rsidRPr="00D7169F" w:rsidRDefault="00B87DE2" w:rsidP="004829B5">
                            <w:pPr>
                              <w:spacing w:line="240" w:lineRule="auto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8E53D2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Sieć przesyłowa gazowa</w:t>
                              </w:r>
                            </w:hyperlink>
                          </w:p>
                          <w:p w:rsidR="008E53D2" w:rsidRPr="00D7169F" w:rsidRDefault="00B87DE2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8E53D2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Sieć rozdzielcza gazowa</w:t>
                              </w:r>
                            </w:hyperlink>
                          </w:p>
                          <w:p w:rsidR="008E53D2" w:rsidRPr="00D7169F" w:rsidRDefault="00B87DE2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8E53D2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Przyłącze do sieci gazowej</w:t>
                              </w:r>
                            </w:hyperlink>
                          </w:p>
                          <w:p w:rsidR="008E53D2" w:rsidRPr="00D7169F" w:rsidRDefault="00B87DE2" w:rsidP="004829B5">
                            <w:pPr>
                              <w:spacing w:line="240" w:lineRule="auto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E53D2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Odbiorca gazu</w:t>
                              </w:r>
                            </w:hyperlink>
                          </w:p>
                          <w:p w:rsidR="008E53D2" w:rsidRPr="00D7169F" w:rsidRDefault="00B87DE2" w:rsidP="004829B5">
                            <w:pPr>
                              <w:spacing w:line="240" w:lineRule="auto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E53D2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Zużycie gazu w gospodarstwach domowych</w:t>
                              </w:r>
                            </w:hyperlink>
                          </w:p>
                          <w:p w:rsidR="008E53D2" w:rsidRPr="00D7169F" w:rsidRDefault="00B87DE2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8E53D2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Sieć cieplna rozdzielcza</w:t>
                              </w:r>
                            </w:hyperlink>
                          </w:p>
                          <w:p w:rsidR="008E53D2" w:rsidRPr="00D7169F" w:rsidRDefault="00B87DE2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8E53D2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Sieć cieplna przesyłowa</w:t>
                              </w:r>
                            </w:hyperlink>
                          </w:p>
                          <w:p w:rsidR="008E53D2" w:rsidRPr="00D7169F" w:rsidRDefault="00B87DE2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8E53D2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Zużycie energii</w:t>
                              </w:r>
                            </w:hyperlink>
                          </w:p>
                          <w:p w:rsidR="008E53D2" w:rsidRPr="00241998" w:rsidRDefault="008E53D2" w:rsidP="00D7169F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B04D" id="_x0000_s1032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GwWxQ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8E53D2" w:rsidRDefault="008E53D2" w:rsidP="00AB6D25">
                      <w:pPr>
                        <w:rPr>
                          <w:b/>
                        </w:rPr>
                      </w:pPr>
                    </w:p>
                    <w:p w:rsidR="008E53D2" w:rsidRDefault="008E53D2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735C17" w:rsidRPr="00735C17" w:rsidRDefault="005E0B13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735C17" w:rsidRPr="00735C1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Gospodarka energetyczna i gazownictwo w 2019 r.</w:t>
                        </w:r>
                      </w:hyperlink>
                    </w:p>
                    <w:p w:rsidR="008E53D2" w:rsidRPr="005368AE" w:rsidRDefault="005E0B13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8E53D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Gospodarka mieszkaniowa i i</w:t>
                        </w:r>
                        <w:r w:rsidR="008E53D2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nfrastruktura komunalna w 201</w:t>
                        </w:r>
                        <w:r w:rsidR="008E53D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9</w:t>
                        </w:r>
                        <w:r w:rsidR="008E53D2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r.</w:t>
                        </w:r>
                      </w:hyperlink>
                    </w:p>
                    <w:p w:rsidR="008E53D2" w:rsidRDefault="008E53D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E53D2" w:rsidRPr="00505A92" w:rsidRDefault="008E53D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E53D2" w:rsidRPr="005368AE" w:rsidRDefault="00B87DE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8E53D2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</w:p>
                    <w:p w:rsidR="008E53D2" w:rsidRPr="00673C26" w:rsidRDefault="00B87DE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8E53D2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Infrastruktura Komunalna i Mieszkaniowa</w:t>
                        </w:r>
                      </w:hyperlink>
                    </w:p>
                    <w:p w:rsidR="008E53D2" w:rsidRDefault="008E53D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E53D2" w:rsidRDefault="008E53D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E53D2" w:rsidRPr="00D7169F" w:rsidRDefault="00B87DE2" w:rsidP="004829B5">
                      <w:pPr>
                        <w:spacing w:line="240" w:lineRule="auto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8E53D2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Sieć przesyłowa gazowa</w:t>
                        </w:r>
                      </w:hyperlink>
                    </w:p>
                    <w:p w:rsidR="008E53D2" w:rsidRPr="00D7169F" w:rsidRDefault="00B87DE2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8E53D2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Sieć rozdzielcza gazowa</w:t>
                        </w:r>
                      </w:hyperlink>
                    </w:p>
                    <w:p w:rsidR="008E53D2" w:rsidRPr="00D7169F" w:rsidRDefault="00B87DE2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8E53D2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Przyłącze do sieci gazowej</w:t>
                        </w:r>
                      </w:hyperlink>
                    </w:p>
                    <w:p w:rsidR="008E53D2" w:rsidRPr="00D7169F" w:rsidRDefault="00B87DE2" w:rsidP="004829B5">
                      <w:pPr>
                        <w:spacing w:line="240" w:lineRule="auto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8E53D2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Odbiorca gazu</w:t>
                        </w:r>
                      </w:hyperlink>
                    </w:p>
                    <w:p w:rsidR="008E53D2" w:rsidRPr="00D7169F" w:rsidRDefault="00B87DE2" w:rsidP="004829B5">
                      <w:pPr>
                        <w:spacing w:line="240" w:lineRule="auto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8E53D2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Zużycie gazu w gospodarstwach domowych</w:t>
                        </w:r>
                      </w:hyperlink>
                    </w:p>
                    <w:p w:rsidR="008E53D2" w:rsidRPr="00D7169F" w:rsidRDefault="00B87DE2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8E53D2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Sieć cieplna rozdzielcza</w:t>
                        </w:r>
                      </w:hyperlink>
                    </w:p>
                    <w:p w:rsidR="008E53D2" w:rsidRPr="00D7169F" w:rsidRDefault="00B87DE2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8E53D2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Sieć cieplna przesyłowa</w:t>
                        </w:r>
                      </w:hyperlink>
                    </w:p>
                    <w:p w:rsidR="008E53D2" w:rsidRPr="00D7169F" w:rsidRDefault="00B87DE2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8E53D2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Zużycie energii</w:t>
                        </w:r>
                      </w:hyperlink>
                    </w:p>
                    <w:p w:rsidR="008E53D2" w:rsidRPr="00241998" w:rsidRDefault="008E53D2" w:rsidP="00D7169F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7"/>
      <w:footerReference w:type="default" r:id="rId4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DE2" w:rsidRDefault="00B87DE2" w:rsidP="000662E2">
      <w:pPr>
        <w:spacing w:after="0" w:line="240" w:lineRule="auto"/>
      </w:pPr>
      <w:r>
        <w:separator/>
      </w:r>
    </w:p>
  </w:endnote>
  <w:endnote w:type="continuationSeparator" w:id="0">
    <w:p w:rsidR="00B87DE2" w:rsidRDefault="00B87DE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410854"/>
      <w:docPartObj>
        <w:docPartGallery w:val="Page Numbers (Bottom of Page)"/>
        <w:docPartUnique/>
      </w:docPartObj>
    </w:sdtPr>
    <w:sdtEndPr/>
    <w:sdtContent>
      <w:p w:rsidR="008E53D2" w:rsidRDefault="008E53D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321397"/>
      <w:docPartObj>
        <w:docPartGallery w:val="Page Numbers (Bottom of Page)"/>
        <w:docPartUnique/>
      </w:docPartObj>
    </w:sdtPr>
    <w:sdtEndPr/>
    <w:sdtContent>
      <w:p w:rsidR="008E53D2" w:rsidRDefault="008E53D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2" w:rsidRDefault="008E53D2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DE2" w:rsidRDefault="00B87DE2" w:rsidP="000662E2">
      <w:pPr>
        <w:spacing w:after="0" w:line="240" w:lineRule="auto"/>
      </w:pPr>
      <w:r>
        <w:separator/>
      </w:r>
    </w:p>
  </w:footnote>
  <w:footnote w:type="continuationSeparator" w:id="0">
    <w:p w:rsidR="00B87DE2" w:rsidRDefault="00B87DE2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2" w:rsidRDefault="008E53D2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0113C2" wp14:editId="115FB738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7C9B07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" fillcolor="#f2f2f2 [3052]" stroked="f" strokeweight="1pt"/>
          </w:pict>
        </mc:Fallback>
      </mc:AlternateContent>
    </w:r>
  </w:p>
  <w:p w:rsidR="008E53D2" w:rsidRDefault="008E53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2" w:rsidRDefault="008E53D2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004AC99" wp14:editId="6E5E2778">
              <wp:simplePos x="0" y="0"/>
              <wp:positionH relativeFrom="page">
                <wp:align>right</wp:align>
              </wp:positionH>
              <wp:positionV relativeFrom="paragraph">
                <wp:posOffset>483235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24E38" id="Prostokąt 10" o:spid="_x0000_s1026" style="position:absolute;margin-left:96.2pt;margin-top:38.05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" fillcolor="#f2f2f2" stroked="f" strokeweight="1pt">
              <w10:wrap type="tight" anchorx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1D2825" wp14:editId="5299EF8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53D2" w:rsidRPr="003C6C8D" w:rsidRDefault="008E53D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D2825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8E53D2" w:rsidRPr="003C6C8D" w:rsidRDefault="008E53D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7686F0F2" wp14:editId="31D66B20">
          <wp:extent cx="1296426" cy="720000"/>
          <wp:effectExtent l="0" t="0" r="0" b="4445"/>
          <wp:docPr id="27" name="Obraz 27" descr="http://intranet/GUS/GP/SIWSP/05%20-%20GUS/Materiały%20graficzne%20-%20logo/LOGO%20GUS/Wersja%20PODSTAWOWA/Logo%20GUS%20wersja%20podstawowa%20wariant%20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GUS/GP/SIWSP/05%20-%20GUS/Materiały%20graficzne%20-%20logo/LOGO%20GUS/Wersja%20PODSTAWOWA/Logo%20GUS%20wersja%20podstawowa%20wariant%20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42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3D2" w:rsidRDefault="008E53D2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9D8842B" wp14:editId="52531B6B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3D2" w:rsidRPr="00C97596" w:rsidRDefault="008E53D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16.09.2021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8842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8E53D2" w:rsidRPr="00C97596" w:rsidRDefault="008E53D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16.09.2021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2" w:rsidRDefault="008E53D2">
    <w:pPr>
      <w:pStyle w:val="Nagwek"/>
    </w:pPr>
  </w:p>
  <w:p w:rsidR="008E53D2" w:rsidRDefault="008E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2.95pt;height:125.1pt;visibility:visible;mso-wrap-style:square" o:bullet="t">
        <v:imagedata r:id="rId1" o:title=""/>
      </v:shape>
    </w:pict>
  </w:numPicBullet>
  <w:numPicBullet w:numPicBulletId="1">
    <w:pict>
      <v:shape id="_x0000_i1077" type="#_x0000_t75" style="width:123.7pt;height:125.1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EB416D"/>
    <w:multiLevelType w:val="hybridMultilevel"/>
    <w:tmpl w:val="5EC2B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B68F5"/>
    <w:multiLevelType w:val="multilevel"/>
    <w:tmpl w:val="AA18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1041C"/>
    <w:rsid w:val="000108B8"/>
    <w:rsid w:val="00012C41"/>
    <w:rsid w:val="000152F5"/>
    <w:rsid w:val="0002129F"/>
    <w:rsid w:val="000235AB"/>
    <w:rsid w:val="00034277"/>
    <w:rsid w:val="0004582E"/>
    <w:rsid w:val="0004667A"/>
    <w:rsid w:val="000470AA"/>
    <w:rsid w:val="00051E39"/>
    <w:rsid w:val="0005220D"/>
    <w:rsid w:val="00052330"/>
    <w:rsid w:val="00055061"/>
    <w:rsid w:val="00057CA1"/>
    <w:rsid w:val="00061656"/>
    <w:rsid w:val="00062AEB"/>
    <w:rsid w:val="00062B9E"/>
    <w:rsid w:val="000630BC"/>
    <w:rsid w:val="000662E2"/>
    <w:rsid w:val="00066883"/>
    <w:rsid w:val="000668E8"/>
    <w:rsid w:val="00070963"/>
    <w:rsid w:val="00073156"/>
    <w:rsid w:val="00074DD8"/>
    <w:rsid w:val="000806F7"/>
    <w:rsid w:val="00081AA4"/>
    <w:rsid w:val="0008281C"/>
    <w:rsid w:val="00090DEF"/>
    <w:rsid w:val="000971D6"/>
    <w:rsid w:val="00097840"/>
    <w:rsid w:val="000A3422"/>
    <w:rsid w:val="000A4B3B"/>
    <w:rsid w:val="000A5070"/>
    <w:rsid w:val="000A73FA"/>
    <w:rsid w:val="000B0727"/>
    <w:rsid w:val="000B28B7"/>
    <w:rsid w:val="000B5417"/>
    <w:rsid w:val="000C072D"/>
    <w:rsid w:val="000C135D"/>
    <w:rsid w:val="000C6F7E"/>
    <w:rsid w:val="000D1D43"/>
    <w:rsid w:val="000D225C"/>
    <w:rsid w:val="000D2A5C"/>
    <w:rsid w:val="000D578D"/>
    <w:rsid w:val="000E0918"/>
    <w:rsid w:val="000E1AAC"/>
    <w:rsid w:val="000E218E"/>
    <w:rsid w:val="000E41B9"/>
    <w:rsid w:val="000E7255"/>
    <w:rsid w:val="001011C3"/>
    <w:rsid w:val="0010120A"/>
    <w:rsid w:val="001022EA"/>
    <w:rsid w:val="0010295A"/>
    <w:rsid w:val="00110D87"/>
    <w:rsid w:val="00111DE3"/>
    <w:rsid w:val="00112F2C"/>
    <w:rsid w:val="00113606"/>
    <w:rsid w:val="00114DB9"/>
    <w:rsid w:val="00114F01"/>
    <w:rsid w:val="00116087"/>
    <w:rsid w:val="001233FA"/>
    <w:rsid w:val="0012673D"/>
    <w:rsid w:val="00130296"/>
    <w:rsid w:val="00137E3D"/>
    <w:rsid w:val="00141D11"/>
    <w:rsid w:val="001423B6"/>
    <w:rsid w:val="0014454F"/>
    <w:rsid w:val="001448A7"/>
    <w:rsid w:val="00146621"/>
    <w:rsid w:val="00162325"/>
    <w:rsid w:val="001651D7"/>
    <w:rsid w:val="0016542C"/>
    <w:rsid w:val="0017147C"/>
    <w:rsid w:val="00174A10"/>
    <w:rsid w:val="00183DD2"/>
    <w:rsid w:val="001843EE"/>
    <w:rsid w:val="001951DA"/>
    <w:rsid w:val="0019528D"/>
    <w:rsid w:val="001A040C"/>
    <w:rsid w:val="001A29A6"/>
    <w:rsid w:val="001A5780"/>
    <w:rsid w:val="001A6B1E"/>
    <w:rsid w:val="001A7AA1"/>
    <w:rsid w:val="001C3269"/>
    <w:rsid w:val="001C3DB8"/>
    <w:rsid w:val="001D1214"/>
    <w:rsid w:val="001D1C48"/>
    <w:rsid w:val="001D1DB4"/>
    <w:rsid w:val="001D2253"/>
    <w:rsid w:val="001D2AF6"/>
    <w:rsid w:val="001D5767"/>
    <w:rsid w:val="001D6F26"/>
    <w:rsid w:val="001E159D"/>
    <w:rsid w:val="001E2CC1"/>
    <w:rsid w:val="001E5473"/>
    <w:rsid w:val="001F2C2D"/>
    <w:rsid w:val="001F7D78"/>
    <w:rsid w:val="00202C00"/>
    <w:rsid w:val="00206503"/>
    <w:rsid w:val="002072FC"/>
    <w:rsid w:val="00207D57"/>
    <w:rsid w:val="00210434"/>
    <w:rsid w:val="002124CE"/>
    <w:rsid w:val="002204FF"/>
    <w:rsid w:val="002213E2"/>
    <w:rsid w:val="00224604"/>
    <w:rsid w:val="0022731A"/>
    <w:rsid w:val="0022773E"/>
    <w:rsid w:val="00227F38"/>
    <w:rsid w:val="002311DA"/>
    <w:rsid w:val="00231F5E"/>
    <w:rsid w:val="00235562"/>
    <w:rsid w:val="00235937"/>
    <w:rsid w:val="00241998"/>
    <w:rsid w:val="00243454"/>
    <w:rsid w:val="00251D41"/>
    <w:rsid w:val="00256AA6"/>
    <w:rsid w:val="002574F9"/>
    <w:rsid w:val="00261383"/>
    <w:rsid w:val="00262494"/>
    <w:rsid w:val="00262B61"/>
    <w:rsid w:val="00264DBF"/>
    <w:rsid w:val="00265051"/>
    <w:rsid w:val="00265626"/>
    <w:rsid w:val="00265801"/>
    <w:rsid w:val="00276811"/>
    <w:rsid w:val="00281287"/>
    <w:rsid w:val="00281862"/>
    <w:rsid w:val="00282699"/>
    <w:rsid w:val="00286F19"/>
    <w:rsid w:val="00290EB0"/>
    <w:rsid w:val="00291318"/>
    <w:rsid w:val="002915BA"/>
    <w:rsid w:val="002926DF"/>
    <w:rsid w:val="00296697"/>
    <w:rsid w:val="00297749"/>
    <w:rsid w:val="002A07FB"/>
    <w:rsid w:val="002A189A"/>
    <w:rsid w:val="002A49B6"/>
    <w:rsid w:val="002B0472"/>
    <w:rsid w:val="002B34E1"/>
    <w:rsid w:val="002B3ADD"/>
    <w:rsid w:val="002B5932"/>
    <w:rsid w:val="002B6B12"/>
    <w:rsid w:val="002B7E4E"/>
    <w:rsid w:val="002C1ADA"/>
    <w:rsid w:val="002C4A2A"/>
    <w:rsid w:val="002C6197"/>
    <w:rsid w:val="002D63C1"/>
    <w:rsid w:val="002E3864"/>
    <w:rsid w:val="002E6140"/>
    <w:rsid w:val="002E6985"/>
    <w:rsid w:val="002E6D51"/>
    <w:rsid w:val="002E71B6"/>
    <w:rsid w:val="002F053D"/>
    <w:rsid w:val="002F113C"/>
    <w:rsid w:val="002F2120"/>
    <w:rsid w:val="002F2E6E"/>
    <w:rsid w:val="002F5CB4"/>
    <w:rsid w:val="002F77C8"/>
    <w:rsid w:val="00300931"/>
    <w:rsid w:val="0030130D"/>
    <w:rsid w:val="00301C59"/>
    <w:rsid w:val="00304F22"/>
    <w:rsid w:val="00306C7C"/>
    <w:rsid w:val="00316DF0"/>
    <w:rsid w:val="00322EDD"/>
    <w:rsid w:val="00325B5B"/>
    <w:rsid w:val="00331AD3"/>
    <w:rsid w:val="00332320"/>
    <w:rsid w:val="00334BC6"/>
    <w:rsid w:val="003444E4"/>
    <w:rsid w:val="00344C3E"/>
    <w:rsid w:val="0034657A"/>
    <w:rsid w:val="00347D72"/>
    <w:rsid w:val="003509C1"/>
    <w:rsid w:val="003570B9"/>
    <w:rsid w:val="00357611"/>
    <w:rsid w:val="00363878"/>
    <w:rsid w:val="00365427"/>
    <w:rsid w:val="00365544"/>
    <w:rsid w:val="00367237"/>
    <w:rsid w:val="0037077F"/>
    <w:rsid w:val="00371606"/>
    <w:rsid w:val="00372411"/>
    <w:rsid w:val="00372D8F"/>
    <w:rsid w:val="00373882"/>
    <w:rsid w:val="003843DB"/>
    <w:rsid w:val="0038453C"/>
    <w:rsid w:val="00393761"/>
    <w:rsid w:val="00397D18"/>
    <w:rsid w:val="003A1B36"/>
    <w:rsid w:val="003A59F2"/>
    <w:rsid w:val="003A6808"/>
    <w:rsid w:val="003B1454"/>
    <w:rsid w:val="003B18B6"/>
    <w:rsid w:val="003B7878"/>
    <w:rsid w:val="003C59E0"/>
    <w:rsid w:val="003C65B9"/>
    <w:rsid w:val="003C6C8D"/>
    <w:rsid w:val="003C7BCB"/>
    <w:rsid w:val="003D238D"/>
    <w:rsid w:val="003D457D"/>
    <w:rsid w:val="003D4F95"/>
    <w:rsid w:val="003D53F5"/>
    <w:rsid w:val="003D5F42"/>
    <w:rsid w:val="003D60A9"/>
    <w:rsid w:val="003E5D54"/>
    <w:rsid w:val="003F00B7"/>
    <w:rsid w:val="003F4C97"/>
    <w:rsid w:val="003F7FE6"/>
    <w:rsid w:val="00400193"/>
    <w:rsid w:val="00406837"/>
    <w:rsid w:val="00416C79"/>
    <w:rsid w:val="00416FC0"/>
    <w:rsid w:val="004212E7"/>
    <w:rsid w:val="00422082"/>
    <w:rsid w:val="00422EFF"/>
    <w:rsid w:val="004234CE"/>
    <w:rsid w:val="0042446D"/>
    <w:rsid w:val="00427BF8"/>
    <w:rsid w:val="00431C02"/>
    <w:rsid w:val="00437395"/>
    <w:rsid w:val="00442767"/>
    <w:rsid w:val="00444813"/>
    <w:rsid w:val="00445047"/>
    <w:rsid w:val="00450EF2"/>
    <w:rsid w:val="00451C9D"/>
    <w:rsid w:val="00453E46"/>
    <w:rsid w:val="00463E39"/>
    <w:rsid w:val="004657FC"/>
    <w:rsid w:val="00470345"/>
    <w:rsid w:val="004733F6"/>
    <w:rsid w:val="00474E69"/>
    <w:rsid w:val="004829B5"/>
    <w:rsid w:val="00482BF3"/>
    <w:rsid w:val="00485E18"/>
    <w:rsid w:val="00486C58"/>
    <w:rsid w:val="0049138C"/>
    <w:rsid w:val="0049621B"/>
    <w:rsid w:val="004A022A"/>
    <w:rsid w:val="004A74E6"/>
    <w:rsid w:val="004B2D05"/>
    <w:rsid w:val="004B3C07"/>
    <w:rsid w:val="004C1895"/>
    <w:rsid w:val="004C6D40"/>
    <w:rsid w:val="004D51E6"/>
    <w:rsid w:val="004D6BAC"/>
    <w:rsid w:val="004E1FDB"/>
    <w:rsid w:val="004F0C3C"/>
    <w:rsid w:val="004F33CF"/>
    <w:rsid w:val="004F63FC"/>
    <w:rsid w:val="00505A92"/>
    <w:rsid w:val="00507470"/>
    <w:rsid w:val="00511B54"/>
    <w:rsid w:val="00514493"/>
    <w:rsid w:val="005203F1"/>
    <w:rsid w:val="00521637"/>
    <w:rsid w:val="00521BC3"/>
    <w:rsid w:val="00523E9D"/>
    <w:rsid w:val="005258B2"/>
    <w:rsid w:val="00531348"/>
    <w:rsid w:val="00532880"/>
    <w:rsid w:val="00533632"/>
    <w:rsid w:val="005368AE"/>
    <w:rsid w:val="00541357"/>
    <w:rsid w:val="00541E6E"/>
    <w:rsid w:val="0054251F"/>
    <w:rsid w:val="00543645"/>
    <w:rsid w:val="00544C47"/>
    <w:rsid w:val="00547A43"/>
    <w:rsid w:val="0055150F"/>
    <w:rsid w:val="005520D8"/>
    <w:rsid w:val="00556CF1"/>
    <w:rsid w:val="005623F2"/>
    <w:rsid w:val="00563DE6"/>
    <w:rsid w:val="00566CF8"/>
    <w:rsid w:val="00571DD3"/>
    <w:rsid w:val="005762A7"/>
    <w:rsid w:val="005819D1"/>
    <w:rsid w:val="00583D2C"/>
    <w:rsid w:val="00590FCC"/>
    <w:rsid w:val="005916D7"/>
    <w:rsid w:val="00594E75"/>
    <w:rsid w:val="005A0251"/>
    <w:rsid w:val="005A258C"/>
    <w:rsid w:val="005A2819"/>
    <w:rsid w:val="005A698C"/>
    <w:rsid w:val="005B655D"/>
    <w:rsid w:val="005B7AD7"/>
    <w:rsid w:val="005C1CA4"/>
    <w:rsid w:val="005C5A96"/>
    <w:rsid w:val="005D156B"/>
    <w:rsid w:val="005D22A4"/>
    <w:rsid w:val="005D59A8"/>
    <w:rsid w:val="005D59DD"/>
    <w:rsid w:val="005E0799"/>
    <w:rsid w:val="005E0B13"/>
    <w:rsid w:val="005E3A72"/>
    <w:rsid w:val="005E4243"/>
    <w:rsid w:val="005E5554"/>
    <w:rsid w:val="005E5CA7"/>
    <w:rsid w:val="005F03E9"/>
    <w:rsid w:val="005F05B2"/>
    <w:rsid w:val="005F1759"/>
    <w:rsid w:val="005F37BA"/>
    <w:rsid w:val="005F5A80"/>
    <w:rsid w:val="006044FF"/>
    <w:rsid w:val="006064EC"/>
    <w:rsid w:val="0060716B"/>
    <w:rsid w:val="0060749B"/>
    <w:rsid w:val="00607796"/>
    <w:rsid w:val="00607CC5"/>
    <w:rsid w:val="006102BA"/>
    <w:rsid w:val="00611A88"/>
    <w:rsid w:val="00620E1A"/>
    <w:rsid w:val="006227A1"/>
    <w:rsid w:val="0062763C"/>
    <w:rsid w:val="00627E86"/>
    <w:rsid w:val="006319DD"/>
    <w:rsid w:val="00633014"/>
    <w:rsid w:val="0063437B"/>
    <w:rsid w:val="0063611C"/>
    <w:rsid w:val="00636D21"/>
    <w:rsid w:val="00652655"/>
    <w:rsid w:val="0065395C"/>
    <w:rsid w:val="00660001"/>
    <w:rsid w:val="006673CA"/>
    <w:rsid w:val="00667D50"/>
    <w:rsid w:val="00671347"/>
    <w:rsid w:val="006717B3"/>
    <w:rsid w:val="00671847"/>
    <w:rsid w:val="006735CC"/>
    <w:rsid w:val="00673C26"/>
    <w:rsid w:val="00675F17"/>
    <w:rsid w:val="00680F7C"/>
    <w:rsid w:val="006812AF"/>
    <w:rsid w:val="006829C1"/>
    <w:rsid w:val="0068327D"/>
    <w:rsid w:val="00692576"/>
    <w:rsid w:val="00694AF0"/>
    <w:rsid w:val="006955E8"/>
    <w:rsid w:val="006A4686"/>
    <w:rsid w:val="006B0E9E"/>
    <w:rsid w:val="006B5AE4"/>
    <w:rsid w:val="006B5AE9"/>
    <w:rsid w:val="006B7C3A"/>
    <w:rsid w:val="006C2B12"/>
    <w:rsid w:val="006C5154"/>
    <w:rsid w:val="006C61DC"/>
    <w:rsid w:val="006D0F90"/>
    <w:rsid w:val="006D1507"/>
    <w:rsid w:val="006D3B91"/>
    <w:rsid w:val="006D4054"/>
    <w:rsid w:val="006E02EC"/>
    <w:rsid w:val="006E0786"/>
    <w:rsid w:val="006E485A"/>
    <w:rsid w:val="006E5827"/>
    <w:rsid w:val="006F3F4B"/>
    <w:rsid w:val="006F5DCB"/>
    <w:rsid w:val="006F75DF"/>
    <w:rsid w:val="007029A1"/>
    <w:rsid w:val="00704A34"/>
    <w:rsid w:val="00705987"/>
    <w:rsid w:val="00720BDF"/>
    <w:rsid w:val="007211B1"/>
    <w:rsid w:val="00726238"/>
    <w:rsid w:val="00732E07"/>
    <w:rsid w:val="00733E52"/>
    <w:rsid w:val="00735C17"/>
    <w:rsid w:val="00741D4F"/>
    <w:rsid w:val="00746187"/>
    <w:rsid w:val="00746BBA"/>
    <w:rsid w:val="00747E59"/>
    <w:rsid w:val="007573F9"/>
    <w:rsid w:val="0076254F"/>
    <w:rsid w:val="007801F5"/>
    <w:rsid w:val="00783CA4"/>
    <w:rsid w:val="007842FB"/>
    <w:rsid w:val="00785476"/>
    <w:rsid w:val="00786124"/>
    <w:rsid w:val="0079455D"/>
    <w:rsid w:val="0079514B"/>
    <w:rsid w:val="007A2DC1"/>
    <w:rsid w:val="007A38B8"/>
    <w:rsid w:val="007B3177"/>
    <w:rsid w:val="007C049E"/>
    <w:rsid w:val="007C2B00"/>
    <w:rsid w:val="007D1EFE"/>
    <w:rsid w:val="007D3319"/>
    <w:rsid w:val="007D335D"/>
    <w:rsid w:val="007D5619"/>
    <w:rsid w:val="007E0A58"/>
    <w:rsid w:val="007E3314"/>
    <w:rsid w:val="007E4B03"/>
    <w:rsid w:val="007F06AA"/>
    <w:rsid w:val="007F324B"/>
    <w:rsid w:val="007F72F1"/>
    <w:rsid w:val="008044CA"/>
    <w:rsid w:val="0080553C"/>
    <w:rsid w:val="00805B46"/>
    <w:rsid w:val="0080613E"/>
    <w:rsid w:val="00806878"/>
    <w:rsid w:val="008079F8"/>
    <w:rsid w:val="008161C1"/>
    <w:rsid w:val="00820C18"/>
    <w:rsid w:val="00824A20"/>
    <w:rsid w:val="00825DC2"/>
    <w:rsid w:val="00834A43"/>
    <w:rsid w:val="00834AD3"/>
    <w:rsid w:val="0083727A"/>
    <w:rsid w:val="008378F0"/>
    <w:rsid w:val="00837EFE"/>
    <w:rsid w:val="00840C7C"/>
    <w:rsid w:val="00843795"/>
    <w:rsid w:val="00845B64"/>
    <w:rsid w:val="00847F0F"/>
    <w:rsid w:val="008514C5"/>
    <w:rsid w:val="0085236C"/>
    <w:rsid w:val="00852448"/>
    <w:rsid w:val="008531B0"/>
    <w:rsid w:val="00857311"/>
    <w:rsid w:val="008620CE"/>
    <w:rsid w:val="00867BAA"/>
    <w:rsid w:val="0087619B"/>
    <w:rsid w:val="00876F94"/>
    <w:rsid w:val="00877B88"/>
    <w:rsid w:val="0088258A"/>
    <w:rsid w:val="00885AD2"/>
    <w:rsid w:val="00886332"/>
    <w:rsid w:val="00886E67"/>
    <w:rsid w:val="008928AA"/>
    <w:rsid w:val="00894563"/>
    <w:rsid w:val="00896A0B"/>
    <w:rsid w:val="008A26D9"/>
    <w:rsid w:val="008B3161"/>
    <w:rsid w:val="008C0C29"/>
    <w:rsid w:val="008D3C14"/>
    <w:rsid w:val="008E53D2"/>
    <w:rsid w:val="008F3638"/>
    <w:rsid w:val="008F4441"/>
    <w:rsid w:val="008F54D4"/>
    <w:rsid w:val="008F5688"/>
    <w:rsid w:val="008F6F31"/>
    <w:rsid w:val="008F74DF"/>
    <w:rsid w:val="00901315"/>
    <w:rsid w:val="00906EE7"/>
    <w:rsid w:val="00911C62"/>
    <w:rsid w:val="009127BA"/>
    <w:rsid w:val="00916D61"/>
    <w:rsid w:val="00917388"/>
    <w:rsid w:val="00920A55"/>
    <w:rsid w:val="009227A6"/>
    <w:rsid w:val="009302EF"/>
    <w:rsid w:val="009305B0"/>
    <w:rsid w:val="00931AE0"/>
    <w:rsid w:val="00933EC1"/>
    <w:rsid w:val="009348C3"/>
    <w:rsid w:val="009417C0"/>
    <w:rsid w:val="009439C1"/>
    <w:rsid w:val="009468E1"/>
    <w:rsid w:val="009530DB"/>
    <w:rsid w:val="00953676"/>
    <w:rsid w:val="00953EF2"/>
    <w:rsid w:val="00956C15"/>
    <w:rsid w:val="00960D1B"/>
    <w:rsid w:val="009705EE"/>
    <w:rsid w:val="009721DB"/>
    <w:rsid w:val="00975484"/>
    <w:rsid w:val="009756F8"/>
    <w:rsid w:val="00976067"/>
    <w:rsid w:val="00977927"/>
    <w:rsid w:val="0098135C"/>
    <w:rsid w:val="0098156A"/>
    <w:rsid w:val="009817A4"/>
    <w:rsid w:val="0098281C"/>
    <w:rsid w:val="00985C1B"/>
    <w:rsid w:val="00991BAC"/>
    <w:rsid w:val="00997A7D"/>
    <w:rsid w:val="009A3802"/>
    <w:rsid w:val="009A5D70"/>
    <w:rsid w:val="009A6EA0"/>
    <w:rsid w:val="009B03C5"/>
    <w:rsid w:val="009B1F00"/>
    <w:rsid w:val="009B2921"/>
    <w:rsid w:val="009B3644"/>
    <w:rsid w:val="009B44F1"/>
    <w:rsid w:val="009C1335"/>
    <w:rsid w:val="009C1AB2"/>
    <w:rsid w:val="009C7251"/>
    <w:rsid w:val="009E2E91"/>
    <w:rsid w:val="009E781D"/>
    <w:rsid w:val="009F1320"/>
    <w:rsid w:val="009F270F"/>
    <w:rsid w:val="00A03452"/>
    <w:rsid w:val="00A05F13"/>
    <w:rsid w:val="00A1194F"/>
    <w:rsid w:val="00A1271A"/>
    <w:rsid w:val="00A12C70"/>
    <w:rsid w:val="00A139F5"/>
    <w:rsid w:val="00A155DD"/>
    <w:rsid w:val="00A3346A"/>
    <w:rsid w:val="00A365F4"/>
    <w:rsid w:val="00A47D80"/>
    <w:rsid w:val="00A51FC9"/>
    <w:rsid w:val="00A53132"/>
    <w:rsid w:val="00A55947"/>
    <w:rsid w:val="00A563F2"/>
    <w:rsid w:val="00A566E8"/>
    <w:rsid w:val="00A57CA1"/>
    <w:rsid w:val="00A72918"/>
    <w:rsid w:val="00A74B0E"/>
    <w:rsid w:val="00A7543F"/>
    <w:rsid w:val="00A810F9"/>
    <w:rsid w:val="00A82DB6"/>
    <w:rsid w:val="00A84ADE"/>
    <w:rsid w:val="00A852EB"/>
    <w:rsid w:val="00A86ECC"/>
    <w:rsid w:val="00A86FCC"/>
    <w:rsid w:val="00A911C5"/>
    <w:rsid w:val="00A93649"/>
    <w:rsid w:val="00AA710D"/>
    <w:rsid w:val="00AB6D25"/>
    <w:rsid w:val="00AC65E1"/>
    <w:rsid w:val="00AD4A02"/>
    <w:rsid w:val="00AD6742"/>
    <w:rsid w:val="00AE2D4B"/>
    <w:rsid w:val="00AE4F99"/>
    <w:rsid w:val="00AE5B74"/>
    <w:rsid w:val="00AE62FD"/>
    <w:rsid w:val="00AE686E"/>
    <w:rsid w:val="00AF2DF1"/>
    <w:rsid w:val="00AF323E"/>
    <w:rsid w:val="00AF7E81"/>
    <w:rsid w:val="00B02A7A"/>
    <w:rsid w:val="00B04EE6"/>
    <w:rsid w:val="00B11B69"/>
    <w:rsid w:val="00B14789"/>
    <w:rsid w:val="00B14952"/>
    <w:rsid w:val="00B174F0"/>
    <w:rsid w:val="00B20162"/>
    <w:rsid w:val="00B21F26"/>
    <w:rsid w:val="00B228C3"/>
    <w:rsid w:val="00B24FAF"/>
    <w:rsid w:val="00B251F9"/>
    <w:rsid w:val="00B30E95"/>
    <w:rsid w:val="00B31E5A"/>
    <w:rsid w:val="00B423FF"/>
    <w:rsid w:val="00B46DE6"/>
    <w:rsid w:val="00B54311"/>
    <w:rsid w:val="00B54313"/>
    <w:rsid w:val="00B547CD"/>
    <w:rsid w:val="00B60B0B"/>
    <w:rsid w:val="00B653AB"/>
    <w:rsid w:val="00B65F9E"/>
    <w:rsid w:val="00B66B19"/>
    <w:rsid w:val="00B754AD"/>
    <w:rsid w:val="00B76A30"/>
    <w:rsid w:val="00B77C4E"/>
    <w:rsid w:val="00B80479"/>
    <w:rsid w:val="00B8333D"/>
    <w:rsid w:val="00B87DE2"/>
    <w:rsid w:val="00B914E9"/>
    <w:rsid w:val="00B956EE"/>
    <w:rsid w:val="00B95A8E"/>
    <w:rsid w:val="00BA1994"/>
    <w:rsid w:val="00BA2BA1"/>
    <w:rsid w:val="00BA3562"/>
    <w:rsid w:val="00BA6751"/>
    <w:rsid w:val="00BA7603"/>
    <w:rsid w:val="00BB3923"/>
    <w:rsid w:val="00BB4F09"/>
    <w:rsid w:val="00BB51BB"/>
    <w:rsid w:val="00BC0536"/>
    <w:rsid w:val="00BC2A97"/>
    <w:rsid w:val="00BC2B3A"/>
    <w:rsid w:val="00BC7172"/>
    <w:rsid w:val="00BD31CC"/>
    <w:rsid w:val="00BD3467"/>
    <w:rsid w:val="00BD4E33"/>
    <w:rsid w:val="00BD6EB6"/>
    <w:rsid w:val="00BE3E23"/>
    <w:rsid w:val="00BF1FD8"/>
    <w:rsid w:val="00BF27C6"/>
    <w:rsid w:val="00BF3836"/>
    <w:rsid w:val="00BF578A"/>
    <w:rsid w:val="00BF6EBB"/>
    <w:rsid w:val="00C030DE"/>
    <w:rsid w:val="00C03B6D"/>
    <w:rsid w:val="00C03C7A"/>
    <w:rsid w:val="00C114AB"/>
    <w:rsid w:val="00C17E79"/>
    <w:rsid w:val="00C22105"/>
    <w:rsid w:val="00C244B6"/>
    <w:rsid w:val="00C31CA6"/>
    <w:rsid w:val="00C34166"/>
    <w:rsid w:val="00C36A86"/>
    <w:rsid w:val="00C3702F"/>
    <w:rsid w:val="00C401E3"/>
    <w:rsid w:val="00C40796"/>
    <w:rsid w:val="00C41FDA"/>
    <w:rsid w:val="00C43C70"/>
    <w:rsid w:val="00C4500A"/>
    <w:rsid w:val="00C50B55"/>
    <w:rsid w:val="00C525C4"/>
    <w:rsid w:val="00C52918"/>
    <w:rsid w:val="00C57499"/>
    <w:rsid w:val="00C622EC"/>
    <w:rsid w:val="00C64A37"/>
    <w:rsid w:val="00C7158E"/>
    <w:rsid w:val="00C7250B"/>
    <w:rsid w:val="00C7346B"/>
    <w:rsid w:val="00C765EC"/>
    <w:rsid w:val="00C77C0E"/>
    <w:rsid w:val="00C8272A"/>
    <w:rsid w:val="00C863F8"/>
    <w:rsid w:val="00C87891"/>
    <w:rsid w:val="00C901B6"/>
    <w:rsid w:val="00C91687"/>
    <w:rsid w:val="00C924A8"/>
    <w:rsid w:val="00C93B68"/>
    <w:rsid w:val="00C945FE"/>
    <w:rsid w:val="00C96FAA"/>
    <w:rsid w:val="00C97A04"/>
    <w:rsid w:val="00CA0889"/>
    <w:rsid w:val="00CA107B"/>
    <w:rsid w:val="00CA484D"/>
    <w:rsid w:val="00CA4873"/>
    <w:rsid w:val="00CA4FB6"/>
    <w:rsid w:val="00CB58C7"/>
    <w:rsid w:val="00CB7FCB"/>
    <w:rsid w:val="00CC2C5C"/>
    <w:rsid w:val="00CC40F9"/>
    <w:rsid w:val="00CC739E"/>
    <w:rsid w:val="00CD2891"/>
    <w:rsid w:val="00CD2C90"/>
    <w:rsid w:val="00CD35F6"/>
    <w:rsid w:val="00CD58B7"/>
    <w:rsid w:val="00CD790B"/>
    <w:rsid w:val="00CE006E"/>
    <w:rsid w:val="00CE322B"/>
    <w:rsid w:val="00CE662F"/>
    <w:rsid w:val="00CF0589"/>
    <w:rsid w:val="00CF141E"/>
    <w:rsid w:val="00CF3CC4"/>
    <w:rsid w:val="00CF4099"/>
    <w:rsid w:val="00CF72EF"/>
    <w:rsid w:val="00D00796"/>
    <w:rsid w:val="00D014C6"/>
    <w:rsid w:val="00D02B9F"/>
    <w:rsid w:val="00D02CCD"/>
    <w:rsid w:val="00D11CEF"/>
    <w:rsid w:val="00D144E5"/>
    <w:rsid w:val="00D203F0"/>
    <w:rsid w:val="00D20998"/>
    <w:rsid w:val="00D261A2"/>
    <w:rsid w:val="00D27063"/>
    <w:rsid w:val="00D311A1"/>
    <w:rsid w:val="00D319C0"/>
    <w:rsid w:val="00D31D29"/>
    <w:rsid w:val="00D37B62"/>
    <w:rsid w:val="00D41198"/>
    <w:rsid w:val="00D445F0"/>
    <w:rsid w:val="00D452F8"/>
    <w:rsid w:val="00D463D6"/>
    <w:rsid w:val="00D468E8"/>
    <w:rsid w:val="00D52C90"/>
    <w:rsid w:val="00D55A10"/>
    <w:rsid w:val="00D56D33"/>
    <w:rsid w:val="00D610F3"/>
    <w:rsid w:val="00D616D2"/>
    <w:rsid w:val="00D61CF5"/>
    <w:rsid w:val="00D62C8F"/>
    <w:rsid w:val="00D63B5F"/>
    <w:rsid w:val="00D64AAD"/>
    <w:rsid w:val="00D64C15"/>
    <w:rsid w:val="00D6525A"/>
    <w:rsid w:val="00D65847"/>
    <w:rsid w:val="00D65EC5"/>
    <w:rsid w:val="00D705B8"/>
    <w:rsid w:val="00D70EF7"/>
    <w:rsid w:val="00D7169F"/>
    <w:rsid w:val="00D7214B"/>
    <w:rsid w:val="00D7413A"/>
    <w:rsid w:val="00D74307"/>
    <w:rsid w:val="00D74CA0"/>
    <w:rsid w:val="00D758F8"/>
    <w:rsid w:val="00D77510"/>
    <w:rsid w:val="00D8397C"/>
    <w:rsid w:val="00D91092"/>
    <w:rsid w:val="00D94786"/>
    <w:rsid w:val="00D94893"/>
    <w:rsid w:val="00D94EED"/>
    <w:rsid w:val="00D96026"/>
    <w:rsid w:val="00DA0865"/>
    <w:rsid w:val="00DA2E43"/>
    <w:rsid w:val="00DA48F2"/>
    <w:rsid w:val="00DA5462"/>
    <w:rsid w:val="00DA632D"/>
    <w:rsid w:val="00DA7C1C"/>
    <w:rsid w:val="00DB147A"/>
    <w:rsid w:val="00DB1B7A"/>
    <w:rsid w:val="00DB1B88"/>
    <w:rsid w:val="00DB2F11"/>
    <w:rsid w:val="00DB31A0"/>
    <w:rsid w:val="00DB63F2"/>
    <w:rsid w:val="00DB6942"/>
    <w:rsid w:val="00DC17C5"/>
    <w:rsid w:val="00DC6708"/>
    <w:rsid w:val="00DF2A73"/>
    <w:rsid w:val="00DF5486"/>
    <w:rsid w:val="00DF5866"/>
    <w:rsid w:val="00E01436"/>
    <w:rsid w:val="00E045BD"/>
    <w:rsid w:val="00E1271F"/>
    <w:rsid w:val="00E127B0"/>
    <w:rsid w:val="00E134BC"/>
    <w:rsid w:val="00E156BC"/>
    <w:rsid w:val="00E17B77"/>
    <w:rsid w:val="00E23337"/>
    <w:rsid w:val="00E24A98"/>
    <w:rsid w:val="00E259EA"/>
    <w:rsid w:val="00E2731E"/>
    <w:rsid w:val="00E32061"/>
    <w:rsid w:val="00E41B3F"/>
    <w:rsid w:val="00E42FF9"/>
    <w:rsid w:val="00E4714C"/>
    <w:rsid w:val="00E51AEB"/>
    <w:rsid w:val="00E522A7"/>
    <w:rsid w:val="00E52ED1"/>
    <w:rsid w:val="00E54452"/>
    <w:rsid w:val="00E55C76"/>
    <w:rsid w:val="00E60CCE"/>
    <w:rsid w:val="00E627FC"/>
    <w:rsid w:val="00E6319E"/>
    <w:rsid w:val="00E657E6"/>
    <w:rsid w:val="00E664C5"/>
    <w:rsid w:val="00E671A2"/>
    <w:rsid w:val="00E6734A"/>
    <w:rsid w:val="00E67AD4"/>
    <w:rsid w:val="00E72A65"/>
    <w:rsid w:val="00E72B3E"/>
    <w:rsid w:val="00E74082"/>
    <w:rsid w:val="00E76D26"/>
    <w:rsid w:val="00E859A7"/>
    <w:rsid w:val="00E96F2E"/>
    <w:rsid w:val="00EA22DB"/>
    <w:rsid w:val="00EA4CC1"/>
    <w:rsid w:val="00EB1390"/>
    <w:rsid w:val="00EB2C71"/>
    <w:rsid w:val="00EB4290"/>
    <w:rsid w:val="00EB4340"/>
    <w:rsid w:val="00EB556D"/>
    <w:rsid w:val="00EB5A7D"/>
    <w:rsid w:val="00EC1A34"/>
    <w:rsid w:val="00EC3C51"/>
    <w:rsid w:val="00ED1BA1"/>
    <w:rsid w:val="00ED3FED"/>
    <w:rsid w:val="00ED55C0"/>
    <w:rsid w:val="00ED682B"/>
    <w:rsid w:val="00EE41D5"/>
    <w:rsid w:val="00EE48FE"/>
    <w:rsid w:val="00EE5C46"/>
    <w:rsid w:val="00EE68D4"/>
    <w:rsid w:val="00EF1AAF"/>
    <w:rsid w:val="00EF268F"/>
    <w:rsid w:val="00EF74F0"/>
    <w:rsid w:val="00EF78D1"/>
    <w:rsid w:val="00F00B50"/>
    <w:rsid w:val="00F037A4"/>
    <w:rsid w:val="00F1163E"/>
    <w:rsid w:val="00F121E5"/>
    <w:rsid w:val="00F1422B"/>
    <w:rsid w:val="00F16964"/>
    <w:rsid w:val="00F178FA"/>
    <w:rsid w:val="00F26489"/>
    <w:rsid w:val="00F27C8F"/>
    <w:rsid w:val="00F32590"/>
    <w:rsid w:val="00F32749"/>
    <w:rsid w:val="00F34F5B"/>
    <w:rsid w:val="00F37172"/>
    <w:rsid w:val="00F4477E"/>
    <w:rsid w:val="00F454A0"/>
    <w:rsid w:val="00F458CE"/>
    <w:rsid w:val="00F52D9D"/>
    <w:rsid w:val="00F53C5F"/>
    <w:rsid w:val="00F57ABF"/>
    <w:rsid w:val="00F6383B"/>
    <w:rsid w:val="00F6727E"/>
    <w:rsid w:val="00F67D8F"/>
    <w:rsid w:val="00F70734"/>
    <w:rsid w:val="00F719D6"/>
    <w:rsid w:val="00F73A06"/>
    <w:rsid w:val="00F75718"/>
    <w:rsid w:val="00F769CE"/>
    <w:rsid w:val="00F802BE"/>
    <w:rsid w:val="00F80E93"/>
    <w:rsid w:val="00F81CDC"/>
    <w:rsid w:val="00F86024"/>
    <w:rsid w:val="00F8611A"/>
    <w:rsid w:val="00F87C30"/>
    <w:rsid w:val="00F9307A"/>
    <w:rsid w:val="00F93B53"/>
    <w:rsid w:val="00F97564"/>
    <w:rsid w:val="00FA03B9"/>
    <w:rsid w:val="00FA1A2B"/>
    <w:rsid w:val="00FA5128"/>
    <w:rsid w:val="00FA673D"/>
    <w:rsid w:val="00FB42D4"/>
    <w:rsid w:val="00FB4B09"/>
    <w:rsid w:val="00FB5906"/>
    <w:rsid w:val="00FB762F"/>
    <w:rsid w:val="00FC2AED"/>
    <w:rsid w:val="00FC3738"/>
    <w:rsid w:val="00FC5D93"/>
    <w:rsid w:val="00FD2F3A"/>
    <w:rsid w:val="00FD5EA7"/>
    <w:rsid w:val="00FE2523"/>
    <w:rsid w:val="00FE6B60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D906"/>
  <w15:docId w15:val="{15E82861-8AE8-4664-B503-E02B3CEB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">
    <w:name w:val="Body Text"/>
    <w:basedOn w:val="Normalny"/>
    <w:link w:val="TekstpodstawowyZnak"/>
    <w:uiPriority w:val="1"/>
    <w:qFormat/>
    <w:rsid w:val="00C03B6D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B6D"/>
    <w:rPr>
      <w:rFonts w:ascii="Fira Sans" w:eastAsia="Times New Roman" w:hAnsi="Fira Sans" w:cs="Fira Sans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9C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9C1"/>
    <w:rPr>
      <w:rFonts w:ascii="Fira Sans" w:hAnsi="Fira Sans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64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64AAD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E218E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60D1B"/>
    <w:pPr>
      <w:spacing w:after="0" w:line="240" w:lineRule="auto"/>
    </w:pPr>
    <w:rPr>
      <w:rFonts w:ascii="Fira Sans" w:hAnsi="Fira Sans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://swaid.stat.gov.pl/SitePagesDBW/InfrastrukturaKomMieszk.aspx" TargetMode="External"/><Relationship Id="rId39" Type="http://schemas.openxmlformats.org/officeDocument/2006/relationships/hyperlink" Target="http://stat.gov.pl/metainformacje/slownik-pojec/pojecia-stosowane-w-statystyce-publicznej/3307,pojecie.html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stat.gov.pl/metainformacje/slownik-pojec/pojecia-stosowane-w-statystyce-publicznej/672,pojecie.html" TargetMode="External"/><Relationship Id="rId42" Type="http://schemas.openxmlformats.org/officeDocument/2006/relationships/hyperlink" Target="http://stat.gov.pl/metainformacje/slownik-pojec/pojecia-stosowane-w-statystyce-publicznej/3349,pojecie.html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://stat.gov.pl/metainformacje/slownik-pojec/pojecia-stosowane-w-statystyce-publicznej/47,pojecie.html" TargetMode="Externa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infrastruktura-komunalna-nieruchomosci/nieruchomosci-budynki-infrastruktura-komunalna/gospodarka-mieszkaniowa-i-infrastruktura-komunalna-w-2019-roku,13,14.html" TargetMode="External"/><Relationship Id="rId32" Type="http://schemas.openxmlformats.org/officeDocument/2006/relationships/hyperlink" Target="http://stat.gov.pl/metainformacje/slownik-pojec/pojecia-stosowane-w-statystyce-publicznej/458,pojecie.html" TargetMode="External"/><Relationship Id="rId37" Type="http://schemas.openxmlformats.org/officeDocument/2006/relationships/hyperlink" Target="https://bdl.stat.gov.pl/BDL/dane/podgrup/temat" TargetMode="External"/><Relationship Id="rId40" Type="http://schemas.openxmlformats.org/officeDocument/2006/relationships/hyperlink" Target="http://stat.gov.pl/metainformacje/slownik-pojec/pojecia-stosowane-w-statystyce-publicznej/83,pojecie.html" TargetMode="External"/><Relationship Id="rId45" Type="http://schemas.openxmlformats.org/officeDocument/2006/relationships/hyperlink" Target="http://stat.gov.pl/metainformacje/slownik-pojec/pojecia-stosowane-w-statystyce-publicznej/457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srodowisko-energia/energia/gospodarka-energetyczna-i-gazownictwo-w-2019-roku,11,3.html" TargetMode="External"/><Relationship Id="rId28" Type="http://schemas.openxmlformats.org/officeDocument/2006/relationships/hyperlink" Target="http://stat.gov.pl/metainformacje/slownik-pojec/pojecia-stosowane-w-statystyce-publicznej/83,pojecie.html" TargetMode="External"/><Relationship Id="rId36" Type="http://schemas.openxmlformats.org/officeDocument/2006/relationships/hyperlink" Target="https://stat.gov.pl/obszary-tematyczne/infrastruktura-komunalna-nieruchomosci/nieruchomosci-budynki-infrastruktura-komunalna/gospodarka-mieszkaniowa-i-infrastruktura-komunalna-w-2019-roku,13,14.html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metainformacje/slownik-pojec/pojecia-stosowane-w-statystyce-publicznej/673,pojecie.html" TargetMode="External"/><Relationship Id="rId44" Type="http://schemas.openxmlformats.org/officeDocument/2006/relationships/hyperlink" Target="http://stat.gov.pl/metainformacje/slownik-pojec/pojecia-stosowane-w-statystyce-publicznej/458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7.png"/><Relationship Id="rId27" Type="http://schemas.openxmlformats.org/officeDocument/2006/relationships/hyperlink" Target="http://stat.gov.pl/metainformacje/slownik-pojec/pojecia-stosowane-w-statystyce-publicznej/3307,pojecie.html" TargetMode="External"/><Relationship Id="rId30" Type="http://schemas.openxmlformats.org/officeDocument/2006/relationships/hyperlink" Target="http://stat.gov.pl/metainformacje/slownik-pojec/pojecia-stosowane-w-statystyce-publicznej/3349,pojecie.html" TargetMode="External"/><Relationship Id="rId35" Type="http://schemas.openxmlformats.org/officeDocument/2006/relationships/hyperlink" Target="https://stat.gov.pl/obszary-tematyczne/srodowisko-energia/energia/gospodarka-energetyczna-i-gazownictwo-w-2019-roku,11,3.html" TargetMode="External"/><Relationship Id="rId43" Type="http://schemas.openxmlformats.org/officeDocument/2006/relationships/hyperlink" Target="http://stat.gov.pl/metainformacje/slownik-pojec/pojecia-stosowane-w-statystyce-publicznej/673,pojecie.html" TargetMode="Externa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://stat.gov.pl/metainformacje/slownik-pojec/pojecia-stosowane-w-statystyce-publicznej/457,pojecie.html" TargetMode="External"/><Relationship Id="rId38" Type="http://schemas.openxmlformats.org/officeDocument/2006/relationships/hyperlink" Target="http://swaid.stat.gov.pl/SitePagesDBW/InfrastrukturaKomMieszk.aspx" TargetMode="External"/><Relationship Id="rId46" Type="http://schemas.openxmlformats.org/officeDocument/2006/relationships/hyperlink" Target="http://stat.gov.pl/metainformacje/slownik-pojec/pojecia-stosowane-w-statystyce-publicznej/672,pojecie.html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://stat.gov.pl/metainformacje/slownik-pojec/pojecia-stosowane-w-statystyce-publicznej/47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015543131458009"/>
          <c:y val="2.8430224780777624E-2"/>
          <c:w val="0.66260964591321991"/>
          <c:h val="0.725848720315043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Arkusz2!$C$6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Arkusz2!$C$7:$C$22</c:f>
              <c:numCache>
                <c:formatCode>0.0</c:formatCode>
                <c:ptCount val="16"/>
                <c:pt idx="0">
                  <c:v>1854.2</c:v>
                </c:pt>
                <c:pt idx="1">
                  <c:v>1166.7</c:v>
                </c:pt>
                <c:pt idx="2">
                  <c:v>1457</c:v>
                </c:pt>
                <c:pt idx="3">
                  <c:v>1811.8</c:v>
                </c:pt>
                <c:pt idx="4">
                  <c:v>1071.5999999999999</c:v>
                </c:pt>
                <c:pt idx="5">
                  <c:v>1997.1</c:v>
                </c:pt>
                <c:pt idx="6">
                  <c:v>2033.2</c:v>
                </c:pt>
                <c:pt idx="7">
                  <c:v>1459.8</c:v>
                </c:pt>
                <c:pt idx="8">
                  <c:v>1951.8</c:v>
                </c:pt>
                <c:pt idx="9">
                  <c:v>865.2</c:v>
                </c:pt>
                <c:pt idx="10">
                  <c:v>1400.9</c:v>
                </c:pt>
                <c:pt idx="11">
                  <c:v>1406.1</c:v>
                </c:pt>
                <c:pt idx="12">
                  <c:v>1423.8</c:v>
                </c:pt>
                <c:pt idx="13">
                  <c:v>1090.9000000000001</c:v>
                </c:pt>
                <c:pt idx="14">
                  <c:v>1864.5</c:v>
                </c:pt>
                <c:pt idx="15">
                  <c:v>1780.3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2F-489F-B0AF-C77F35582DB0}"/>
            </c:ext>
          </c:extLst>
        </c:ser>
        <c:ser>
          <c:idx val="1"/>
          <c:order val="1"/>
          <c:tx>
            <c:strRef>
              <c:f>Arkusz2!$D$6</c:f>
              <c:strCache>
                <c:ptCount val="1"/>
                <c:pt idx="0">
                  <c:v>obszary wiejskie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Arkusz2!$D$7:$D$22</c:f>
              <c:numCache>
                <c:formatCode>0.0</c:formatCode>
                <c:ptCount val="16"/>
                <c:pt idx="0">
                  <c:v>776.3</c:v>
                </c:pt>
                <c:pt idx="1">
                  <c:v>296.10000000000002</c:v>
                </c:pt>
                <c:pt idx="2">
                  <c:v>530.79999999999995</c:v>
                </c:pt>
                <c:pt idx="3">
                  <c:v>519.29999999999995</c:v>
                </c:pt>
                <c:pt idx="4">
                  <c:v>326.10000000000002</c:v>
                </c:pt>
                <c:pt idx="5">
                  <c:v>1400.4</c:v>
                </c:pt>
                <c:pt idx="6">
                  <c:v>1401.7</c:v>
                </c:pt>
                <c:pt idx="7">
                  <c:v>189.9</c:v>
                </c:pt>
                <c:pt idx="8">
                  <c:v>1120.3</c:v>
                </c:pt>
                <c:pt idx="9">
                  <c:v>247.3</c:v>
                </c:pt>
                <c:pt idx="10">
                  <c:v>735.6</c:v>
                </c:pt>
                <c:pt idx="11">
                  <c:v>1081.7</c:v>
                </c:pt>
                <c:pt idx="12">
                  <c:v>368.3</c:v>
                </c:pt>
                <c:pt idx="13">
                  <c:v>258.10000000000002</c:v>
                </c:pt>
                <c:pt idx="14">
                  <c:v>1044</c:v>
                </c:pt>
                <c:pt idx="15">
                  <c:v>1018.3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2F-489F-B0AF-C77F35582D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-1489937312"/>
        <c:axId val="-1489943296"/>
      </c:barChart>
      <c:catAx>
        <c:axId val="-148993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89943296"/>
        <c:crossesAt val="0"/>
        <c:auto val="1"/>
        <c:lblAlgn val="ctr"/>
        <c:lblOffset val="100"/>
        <c:noMultiLvlLbl val="0"/>
      </c:catAx>
      <c:valAx>
        <c:axId val="-1489943296"/>
        <c:scaling>
          <c:orientation val="minMax"/>
          <c:max val="2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 anchor="t" anchorCtr="1"/>
              <a:lstStyle/>
              <a:p>
                <a:pPr>
                  <a:defRPr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r>
                  <a:rPr lang="pl-PL" sz="10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kWh</a:t>
                </a:r>
                <a:endParaRPr lang="en-GB" sz="950" b="0"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0.13227019485017907"/>
              <c:y val="1.4808878166199845E-3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489937312"/>
        <c:crosses val="autoZero"/>
        <c:crossBetween val="between"/>
        <c:majorUnit val="200"/>
      </c:valAx>
      <c:spPr>
        <a:noFill/>
        <a:ln w="25400">
          <a:noFill/>
        </a:ln>
        <a:effectLst/>
      </c:spPr>
    </c:plotArea>
    <c:legend>
      <c:legendPos val="b"/>
      <c:overlay val="0"/>
      <c:txPr>
        <a:bodyPr/>
        <a:lstStyle/>
        <a:p>
          <a:pPr>
            <a:defRPr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837104469747976"/>
          <c:y val="3.8879359634076613E-2"/>
          <c:w val="0.68739279337294734"/>
          <c:h val="0.710601783696420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Arkusz2!$C$6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Arkusz2!$C$7:$C$22</c:f>
              <c:numCache>
                <c:formatCode>0.0</c:formatCode>
                <c:ptCount val="16"/>
                <c:pt idx="0">
                  <c:v>819.11007161765406</c:v>
                </c:pt>
                <c:pt idx="1">
                  <c:v>707.02694304351576</c:v>
                </c:pt>
                <c:pt idx="2">
                  <c:v>667.7261592417392</c:v>
                </c:pt>
                <c:pt idx="3">
                  <c:v>761.88215702017624</c:v>
                </c:pt>
                <c:pt idx="4">
                  <c:v>814.99229119338349</c:v>
                </c:pt>
                <c:pt idx="5">
                  <c:v>914.42055928134096</c:v>
                </c:pt>
                <c:pt idx="6">
                  <c:v>956.51941777119771</c:v>
                </c:pt>
                <c:pt idx="7">
                  <c:v>798.2992607815471</c:v>
                </c:pt>
                <c:pt idx="8">
                  <c:v>617.65442201268422</c:v>
                </c:pt>
                <c:pt idx="9">
                  <c:v>669.2949202248368</c:v>
                </c:pt>
                <c:pt idx="10">
                  <c:v>810.31020749098127</c:v>
                </c:pt>
                <c:pt idx="11">
                  <c:v>814.2198935703434</c:v>
                </c:pt>
                <c:pt idx="12">
                  <c:v>671.61775116195929</c:v>
                </c:pt>
                <c:pt idx="13">
                  <c:v>673.9265929296198</c:v>
                </c:pt>
                <c:pt idx="14">
                  <c:v>798.61750093989303</c:v>
                </c:pt>
                <c:pt idx="15">
                  <c:v>748.0155728049358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5-4B7D-A887-42A37004D1B0}"/>
            </c:ext>
          </c:extLst>
        </c:ser>
        <c:ser>
          <c:idx val="1"/>
          <c:order val="1"/>
          <c:tx>
            <c:strRef>
              <c:f>Arkusz2!$D$6</c:f>
              <c:strCache>
                <c:ptCount val="1"/>
                <c:pt idx="0">
                  <c:v>obszary wiejskie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Arkusz2!$D$7:$D$22</c:f>
              <c:numCache>
                <c:formatCode>0.0</c:formatCode>
                <c:ptCount val="16"/>
                <c:pt idx="0">
                  <c:v>957.43611746654369</c:v>
                </c:pt>
                <c:pt idx="1">
                  <c:v>908.57107847160819</c:v>
                </c:pt>
                <c:pt idx="2">
                  <c:v>722.22558867262921</c:v>
                </c:pt>
                <c:pt idx="3">
                  <c:v>858.65154583426045</c:v>
                </c:pt>
                <c:pt idx="4">
                  <c:v>885.12705148802854</c:v>
                </c:pt>
                <c:pt idx="5">
                  <c:v>810.63244863763646</c:v>
                </c:pt>
                <c:pt idx="6">
                  <c:v>966.77796951335233</c:v>
                </c:pt>
                <c:pt idx="7">
                  <c:v>932.26504391916171</c:v>
                </c:pt>
                <c:pt idx="8">
                  <c:v>588.68518784809555</c:v>
                </c:pt>
                <c:pt idx="9">
                  <c:v>1055.1539736070063</c:v>
                </c:pt>
                <c:pt idx="10">
                  <c:v>848.51605414690937</c:v>
                </c:pt>
                <c:pt idx="11">
                  <c:v>917.24170146453639</c:v>
                </c:pt>
                <c:pt idx="12">
                  <c:v>649.4867918001205</c:v>
                </c:pt>
                <c:pt idx="13">
                  <c:v>843.70202568744071</c:v>
                </c:pt>
                <c:pt idx="14">
                  <c:v>899.28942439430466</c:v>
                </c:pt>
                <c:pt idx="15">
                  <c:v>797.47791437746469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5-4B7D-A887-42A37004D1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-1489941664"/>
        <c:axId val="-1489942752"/>
      </c:barChart>
      <c:catAx>
        <c:axId val="-148994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89942752"/>
        <c:crossesAt val="0"/>
        <c:auto val="1"/>
        <c:lblAlgn val="ctr"/>
        <c:lblOffset val="100"/>
        <c:noMultiLvlLbl val="0"/>
      </c:catAx>
      <c:valAx>
        <c:axId val="-1489942752"/>
        <c:scaling>
          <c:orientation val="minMax"/>
          <c:max val="1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 anchor="t" anchorCtr="0"/>
              <a:lstStyle/>
              <a:p>
                <a:pPr>
                  <a:defRPr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r>
                  <a:rPr lang="pl-PL" b="0">
                    <a:latin typeface="Fira Sans" panose="020B0503050000020004" pitchFamily="34" charset="0"/>
                    <a:ea typeface="Fira Sans" panose="020B0503050000020004" pitchFamily="34" charset="0"/>
                  </a:rPr>
                  <a:t>kWh</a:t>
                </a:r>
                <a:endParaRPr lang="en-GB" b="0"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4.878826020353403E-2"/>
              <c:y val="3.1137957855322659E-3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489941664"/>
        <c:crosses val="autoZero"/>
        <c:crossBetween val="between"/>
        <c:majorUnit val="100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04847544614544"/>
          <c:y val="0.93184676958261869"/>
          <c:w val="0.37543482715218218"/>
          <c:h val="6.8153230417381361E-2"/>
        </c:manualLayout>
      </c:layout>
      <c:overlay val="0"/>
      <c:txPr>
        <a:bodyPr/>
        <a:lstStyle/>
        <a:p>
          <a:pPr>
            <a:defRPr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704299973655711"/>
          <c:y val="0"/>
          <c:w val="0.7468541989872084"/>
          <c:h val="0.838773735372630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Arkusz2!$E$2</c:f>
              <c:strCache>
                <c:ptCount val="1"/>
                <c:pt idx="0">
                  <c:v>Przyłącza do budynków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Arkusz2!$D$3:$D$18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Arkusz2!$E$3:$E$18</c:f>
              <c:numCache>
                <c:formatCode>#\ ##0.0</c:formatCode>
                <c:ptCount val="16"/>
                <c:pt idx="0">
                  <c:v>398.6</c:v>
                </c:pt>
                <c:pt idx="1">
                  <c:v>704.1</c:v>
                </c:pt>
                <c:pt idx="2">
                  <c:v>372.2</c:v>
                </c:pt>
                <c:pt idx="3">
                  <c:v>201.3</c:v>
                </c:pt>
                <c:pt idx="4">
                  <c:v>1234.9000000000001</c:v>
                </c:pt>
                <c:pt idx="5">
                  <c:v>697.5</c:v>
                </c:pt>
                <c:pt idx="6">
                  <c:v>285.89999999999998</c:v>
                </c:pt>
                <c:pt idx="7">
                  <c:v>372.9</c:v>
                </c:pt>
                <c:pt idx="8">
                  <c:v>256.89999999999998</c:v>
                </c:pt>
                <c:pt idx="9">
                  <c:v>1344.9</c:v>
                </c:pt>
                <c:pt idx="10">
                  <c:v>608</c:v>
                </c:pt>
                <c:pt idx="11">
                  <c:v>658</c:v>
                </c:pt>
                <c:pt idx="12">
                  <c:v>140.5</c:v>
                </c:pt>
                <c:pt idx="13">
                  <c:v>468.1</c:v>
                </c:pt>
                <c:pt idx="14">
                  <c:v>435</c:v>
                </c:pt>
                <c:pt idx="15">
                  <c:v>573.6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53-43B7-A470-5EE28702098F}"/>
            </c:ext>
          </c:extLst>
        </c:ser>
        <c:ser>
          <c:idx val="1"/>
          <c:order val="1"/>
          <c:tx>
            <c:strRef>
              <c:f>Arkusz2!$F$2</c:f>
              <c:strCache>
                <c:ptCount val="1"/>
                <c:pt idx="0">
                  <c:v>Sieć cieplna przesyłowa i rozdzielcza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Arkusz2!$D$3:$D$18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Arkusz2!$F$3:$F$18</c:f>
              <c:numCache>
                <c:formatCode>#\ ##0.0</c:formatCode>
                <c:ptCount val="16"/>
                <c:pt idx="0">
                  <c:v>706.4</c:v>
                </c:pt>
                <c:pt idx="1">
                  <c:v>1042.7</c:v>
                </c:pt>
                <c:pt idx="2">
                  <c:v>641.1</c:v>
                </c:pt>
                <c:pt idx="3">
                  <c:v>438.5</c:v>
                </c:pt>
                <c:pt idx="4">
                  <c:v>2432.1</c:v>
                </c:pt>
                <c:pt idx="5">
                  <c:v>1252.7</c:v>
                </c:pt>
                <c:pt idx="6">
                  <c:v>552.79999999999995</c:v>
                </c:pt>
                <c:pt idx="7">
                  <c:v>683</c:v>
                </c:pt>
                <c:pt idx="8">
                  <c:v>439.6</c:v>
                </c:pt>
                <c:pt idx="9">
                  <c:v>2291.9</c:v>
                </c:pt>
                <c:pt idx="10">
                  <c:v>1446.3</c:v>
                </c:pt>
                <c:pt idx="11">
                  <c:v>1232.4000000000001</c:v>
                </c:pt>
                <c:pt idx="12">
                  <c:v>369.2</c:v>
                </c:pt>
                <c:pt idx="13">
                  <c:v>830.8</c:v>
                </c:pt>
                <c:pt idx="14">
                  <c:v>1029.5999999999999</c:v>
                </c:pt>
                <c:pt idx="15">
                  <c:v>1184.3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53-43B7-A470-5EE28702098F}"/>
            </c:ext>
          </c:extLst>
        </c:ser>
        <c:ser>
          <c:idx val="2"/>
          <c:order val="2"/>
          <c:tx>
            <c:strRef>
              <c:f>Arkusz2!$G$2</c:f>
              <c:strCache>
                <c:ptCount val="1"/>
                <c:pt idx="0">
                  <c:v>Sieć cieplna ogółem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Arkusz2!$D$3:$D$18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Arkusz2!$G$3:$G$18</c:f>
              <c:numCache>
                <c:formatCode>#\ ##0.0</c:formatCode>
                <c:ptCount val="16"/>
                <c:pt idx="0">
                  <c:v>1105</c:v>
                </c:pt>
                <c:pt idx="1">
                  <c:v>1746.8000000000002</c:v>
                </c:pt>
                <c:pt idx="2">
                  <c:v>1013.3</c:v>
                </c:pt>
                <c:pt idx="3">
                  <c:v>639.79999999999995</c:v>
                </c:pt>
                <c:pt idx="4">
                  <c:v>3667</c:v>
                </c:pt>
                <c:pt idx="5">
                  <c:v>1950.2</c:v>
                </c:pt>
                <c:pt idx="6">
                  <c:v>838.69999999999993</c:v>
                </c:pt>
                <c:pt idx="7">
                  <c:v>1055.9000000000001</c:v>
                </c:pt>
                <c:pt idx="8">
                  <c:v>696.5</c:v>
                </c:pt>
                <c:pt idx="9">
                  <c:v>3636.8</c:v>
                </c:pt>
                <c:pt idx="10">
                  <c:v>2054.3000000000002</c:v>
                </c:pt>
                <c:pt idx="11">
                  <c:v>1890.4</c:v>
                </c:pt>
                <c:pt idx="12">
                  <c:v>509.7</c:v>
                </c:pt>
                <c:pt idx="13">
                  <c:v>1298.9000000000001</c:v>
                </c:pt>
                <c:pt idx="14">
                  <c:v>1464.6</c:v>
                </c:pt>
                <c:pt idx="15">
                  <c:v>1757.9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53-43B7-A470-5EE287020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-1489941120"/>
        <c:axId val="-1489940576"/>
      </c:barChart>
      <c:catAx>
        <c:axId val="-1489941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89940576"/>
        <c:crosses val="autoZero"/>
        <c:auto val="1"/>
        <c:lblAlgn val="ctr"/>
        <c:lblOffset val="100"/>
        <c:noMultiLvlLbl val="0"/>
      </c:catAx>
      <c:valAx>
        <c:axId val="-1489940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r>
                  <a:rPr lang="pl-PL" b="0">
                    <a:latin typeface="Fira Sans" panose="020B0503050000020004" pitchFamily="34" charset="0"/>
                    <a:ea typeface="Fira Sans" panose="020B0503050000020004" pitchFamily="34" charset="0"/>
                  </a:rPr>
                  <a:t>km</a:t>
                </a:r>
                <a:endParaRPr lang="en-GB" b="0"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0.93897393866658874"/>
              <c:y val="0.8836071610451679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148994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093297817326738"/>
          <c:y val="0.92652127439293974"/>
          <c:w val="0.82291719111319261"/>
          <c:h val="5.48781016091822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0.82156</cdr:x>
      <cdr:y>0.82857</cdr:y>
    </cdr:from>
    <cdr:to>
      <cdr:x>1</cdr:x>
      <cdr:y>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057775" y="50577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BB572-AB46-408E-9002-576415E4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5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Gravmann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2019-09-12T11:33:00Z</cp:lastPrinted>
  <dcterms:created xsi:type="dcterms:W3CDTF">2020-09-14T10:43:00Z</dcterms:created>
  <dcterms:modified xsi:type="dcterms:W3CDTF">2021-09-12T22:25:00Z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