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90B25" w14:textId="49382CC6" w:rsidR="0098135C" w:rsidRDefault="005A785A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A785A">
        <w:rPr>
          <w:shd w:val="clear" w:color="auto" w:fill="FFFFFF"/>
        </w:rPr>
        <w:t>Gospodarka energetyczna i gazownictwo w Polsce w</w:t>
      </w:r>
      <w:r w:rsidR="00DA7D39">
        <w:rPr>
          <w:shd w:val="clear" w:color="auto" w:fill="FFFFFF"/>
        </w:rPr>
        <w:t> </w:t>
      </w:r>
      <w:r w:rsidRPr="005A785A">
        <w:rPr>
          <w:shd w:val="clear" w:color="auto" w:fill="FFFFFF"/>
        </w:rPr>
        <w:t>2017 r</w:t>
      </w:r>
      <w:r w:rsidR="00A755AB">
        <w:rPr>
          <w:shd w:val="clear" w:color="auto" w:fill="FFFFFF"/>
        </w:rPr>
        <w:t>.</w:t>
      </w:r>
    </w:p>
    <w:p w14:paraId="5F690B26" w14:textId="77777777"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690BC6" wp14:editId="5F690BC7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0BEF" w14:textId="0E5F7023" w:rsidR="007A2DC1" w:rsidRPr="00074DD8" w:rsidRDefault="005A785A" w:rsidP="00074DD8">
                            <w:pPr>
                              <w:pStyle w:val="tekstzboku"/>
                            </w:pPr>
                            <w:r w:rsidRPr="005A785A">
                              <w:t>W Polsce w ostatnim dziesięcioleciu utrzymuje się wzrost</w:t>
                            </w:r>
                            <w:r w:rsidR="005A3618">
                              <w:t xml:space="preserve"> inwestycji w obszarze infr</w:t>
                            </w:r>
                            <w:r w:rsidR="00A04AD2">
                              <w:t>a</w:t>
                            </w:r>
                            <w:r w:rsidR="00036AC6">
                              <w:t>struktury systemu gazu ziemnego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90B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14:paraId="5F690BEF" w14:textId="0E5F7023" w:rsidR="007A2DC1" w:rsidRPr="00074DD8" w:rsidRDefault="005A785A" w:rsidP="00074DD8">
                      <w:pPr>
                        <w:pStyle w:val="tekstzboku"/>
                      </w:pPr>
                      <w:r w:rsidRPr="005A785A">
                        <w:t>W Polsce w ostatnim dziesięcioleciu utrzymuje się wzrost</w:t>
                      </w:r>
                      <w:r w:rsidR="005A3618">
                        <w:t xml:space="preserve"> inwestycji w obszarze infr</w:t>
                      </w:r>
                      <w:r w:rsidR="00A04AD2">
                        <w:t>a</w:t>
                      </w:r>
                      <w:r w:rsidR="00036AC6">
                        <w:t>struktury systemu gazu ziemnego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690B27" w14:textId="15A03555" w:rsidR="005916D7" w:rsidRPr="00074DD8" w:rsidRDefault="00003437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690BC8" wp14:editId="5F690BC9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0BF0" w14:textId="1FAB4AE0" w:rsidR="00933EC1" w:rsidRPr="00B66B19" w:rsidRDefault="002E2A1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690C05">
                                <v:shape id="Obraz 33" o:spid="_x0000_i1025" type="#_x0000_t75" style="width:25.95pt;height:25.9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5A785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5A785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</w:p>
                          <w:p w14:paraId="5F690BF1" w14:textId="5E0F0E9D" w:rsidR="00933EC1" w:rsidRPr="00074DD8" w:rsidRDefault="005A785A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A785A">
                              <w:t>Wzrost zużycia gazu na 1</w:t>
                            </w:r>
                            <w:r w:rsidR="00DA7D39">
                              <w:t> </w:t>
                            </w:r>
                            <w:r w:rsidRPr="005A785A">
                              <w:t>mieszkańca miast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0BC8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14:paraId="5F690BF0" w14:textId="1FAB4AE0" w:rsidR="00933EC1" w:rsidRPr="00B66B19" w:rsidRDefault="006341C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690C05">
                          <v:shape id="Obraz 33" o:spid="_x0000_i1028" type="#_x0000_t75" style="width:25.9pt;height:26.6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5A785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5A785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</w:p>
                    <w:p w14:paraId="5F690BF1" w14:textId="5E0F0E9D" w:rsidR="00933EC1" w:rsidRPr="00074DD8" w:rsidRDefault="005A785A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A785A">
                        <w:t>Wzrost zużycia gazu na 1</w:t>
                      </w:r>
                      <w:r w:rsidR="00DA7D39">
                        <w:t> </w:t>
                      </w:r>
                      <w:r w:rsidRPr="005A785A">
                        <w:t>mieszkańca miast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85A" w:rsidRPr="005A785A">
        <w:t>W Polsce w 2017 r</w:t>
      </w:r>
      <w:r w:rsidR="00A755AB">
        <w:t>.</w:t>
      </w:r>
      <w:r w:rsidR="005A785A" w:rsidRPr="005A785A">
        <w:t xml:space="preserve"> zużycie gazu przypadające na</w:t>
      </w:r>
      <w:r w:rsidR="005A3618">
        <w:t> </w:t>
      </w:r>
      <w:r w:rsidR="005A785A" w:rsidRPr="005A785A">
        <w:t>1</w:t>
      </w:r>
      <w:r w:rsidR="005A3618">
        <w:t> </w:t>
      </w:r>
      <w:r w:rsidR="005A785A" w:rsidRPr="005A785A">
        <w:t>mieszkańca miast wzrosło o 50,6 kWh (o 3,3%) i</w:t>
      </w:r>
      <w:r w:rsidR="005A3618">
        <w:t> </w:t>
      </w:r>
      <w:r w:rsidR="005A785A" w:rsidRPr="005A785A">
        <w:t>wyniosło 1 564,5 kWh.</w:t>
      </w:r>
    </w:p>
    <w:p w14:paraId="5F690B28" w14:textId="77777777"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2BB73F13" w14:textId="77777777" w:rsidR="007247FC" w:rsidRDefault="007247FC" w:rsidP="007247FC">
      <w:pPr>
        <w:rPr>
          <w:lang w:eastAsia="pl-PL"/>
        </w:rPr>
      </w:pPr>
    </w:p>
    <w:p w14:paraId="2FFB84F5" w14:textId="77777777" w:rsidR="007247FC" w:rsidRDefault="007247FC" w:rsidP="007247FC">
      <w:pPr>
        <w:rPr>
          <w:lang w:eastAsia="pl-PL"/>
        </w:rPr>
      </w:pPr>
    </w:p>
    <w:p w14:paraId="5F2888AA" w14:textId="77777777" w:rsidR="007247FC" w:rsidRDefault="007247FC" w:rsidP="007247FC">
      <w:pPr>
        <w:rPr>
          <w:lang w:eastAsia="pl-PL"/>
        </w:rPr>
      </w:pPr>
    </w:p>
    <w:p w14:paraId="2DA83C7C" w14:textId="77777777" w:rsidR="007247FC" w:rsidRDefault="007247FC" w:rsidP="007247FC">
      <w:pPr>
        <w:rPr>
          <w:lang w:eastAsia="pl-PL"/>
        </w:rPr>
      </w:pPr>
    </w:p>
    <w:p w14:paraId="2A25289B" w14:textId="77777777" w:rsidR="007247FC" w:rsidRPr="007247FC" w:rsidRDefault="007247FC" w:rsidP="007247FC">
      <w:pPr>
        <w:rPr>
          <w:lang w:eastAsia="pl-PL"/>
        </w:rPr>
      </w:pPr>
    </w:p>
    <w:p w14:paraId="72C8B58D" w14:textId="5DA9D09A" w:rsidR="007247FC" w:rsidRPr="00C36A86" w:rsidRDefault="007247FC" w:rsidP="0007492E">
      <w:pPr>
        <w:pStyle w:val="Nagwek1"/>
        <w:spacing w:before="120" w:line="240" w:lineRule="exact"/>
        <w:rPr>
          <w:rFonts w:ascii="Fira Sans" w:hAnsi="Fira Sans"/>
          <w:b/>
        </w:rPr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363B6F2" wp14:editId="5D2FD085">
                <wp:simplePos x="0" y="0"/>
                <wp:positionH relativeFrom="column">
                  <wp:posOffset>5212080</wp:posOffset>
                </wp:positionH>
                <wp:positionV relativeFrom="paragraph">
                  <wp:posOffset>202663</wp:posOffset>
                </wp:positionV>
                <wp:extent cx="1667510" cy="857250"/>
                <wp:effectExtent l="0" t="0" r="0" b="0"/>
                <wp:wrapTight wrapText="bothSides">
                  <wp:wrapPolygon edited="0">
                    <wp:start x="740" y="0"/>
                    <wp:lineTo x="740" y="21120"/>
                    <wp:lineTo x="20728" y="21120"/>
                    <wp:lineTo x="20728" y="0"/>
                    <wp:lineTo x="740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22A35" w14:textId="0D26C9DD" w:rsidR="007247FC" w:rsidRPr="00D616D2" w:rsidRDefault="007247FC" w:rsidP="007247FC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 porównaniu z 2016 r. długość sieci gazowej zwiększyła się o 2,1%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B6F2" id="Pole tekstowe 16" o:spid="_x0000_s1028" type="#_x0000_t202" style="position:absolute;margin-left:410.4pt;margin-top:15.95pt;width:131.3pt;height:67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" filled="f" stroked="f">
                <v:textbox>
                  <w:txbxContent>
                    <w:p w14:paraId="40222A35" w14:textId="0D26C9DD" w:rsidR="007247FC" w:rsidRPr="00D616D2" w:rsidRDefault="007247FC" w:rsidP="007247FC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 porównaniu z 2016 r. długość sieci gazowej zwiększyła się o 2,1%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6A86">
        <w:rPr>
          <w:rFonts w:ascii="Fira Sans" w:hAnsi="Fira Sans"/>
          <w:b/>
        </w:rPr>
        <w:t>Sieć</w:t>
      </w:r>
      <w:r>
        <w:rPr>
          <w:rFonts w:ascii="Fira Sans" w:hAnsi="Fira Sans"/>
          <w:b/>
        </w:rPr>
        <w:t xml:space="preserve"> gazowa</w:t>
      </w:r>
    </w:p>
    <w:p w14:paraId="494D3DAB" w14:textId="77777777" w:rsidR="0007492E" w:rsidRDefault="0007492E" w:rsidP="007247FC">
      <w:pPr>
        <w:spacing w:before="0" w:after="0"/>
        <w:rPr>
          <w:shd w:val="clear" w:color="auto" w:fill="FFFFFF"/>
        </w:rPr>
      </w:pPr>
    </w:p>
    <w:p w14:paraId="5CBAA2B6" w14:textId="0D64EA36" w:rsidR="007247FC" w:rsidRDefault="007247FC" w:rsidP="007247FC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W 2017 r. sieć gazowa w Polsce osiągnęła długość 152,2 tys. km (z czego 131,0 tys. km przypadało na sieć rozdzielczą). W porównaniu do roku poprzedniego odnotowano wzrost w długości sieci gazowej ogółem – o 3,2 tys. km (o 2,1%), natomiast liczba przyłączy w tym okresie wzrosła o 98 tys. </w:t>
      </w:r>
      <w:r w:rsidRPr="00EF42F1">
        <w:rPr>
          <w:shd w:val="clear" w:color="auto" w:fill="FFFFFF"/>
        </w:rPr>
        <w:t>szt</w:t>
      </w:r>
      <w:r w:rsidR="00DA7D39">
        <w:rPr>
          <w:shd w:val="clear" w:color="auto" w:fill="FFFFFF"/>
        </w:rPr>
        <w:t>.</w:t>
      </w:r>
      <w:r w:rsidRPr="00EF42F1">
        <w:rPr>
          <w:shd w:val="clear" w:color="auto" w:fill="FFFFFF"/>
        </w:rPr>
        <w:t xml:space="preserve"> (o </w:t>
      </w:r>
      <w:r w:rsidRPr="008D3A4B">
        <w:rPr>
          <w:shd w:val="clear" w:color="auto" w:fill="FFFFFF"/>
        </w:rPr>
        <w:t>3,5</w:t>
      </w:r>
      <w:r w:rsidRPr="00EF42F1">
        <w:rPr>
          <w:shd w:val="clear" w:color="auto" w:fill="FFFFFF"/>
        </w:rPr>
        <w:t>%).</w:t>
      </w:r>
      <w:r>
        <w:rPr>
          <w:shd w:val="clear" w:color="auto" w:fill="FFFFFF"/>
        </w:rPr>
        <w:t xml:space="preserve"> </w:t>
      </w:r>
    </w:p>
    <w:p w14:paraId="7F00F588" w14:textId="77777777" w:rsidR="007247FC" w:rsidRDefault="007247FC" w:rsidP="007247FC">
      <w:pPr>
        <w:spacing w:before="0" w:after="0"/>
        <w:rPr>
          <w:spacing w:val="-2"/>
          <w:szCs w:val="19"/>
        </w:rPr>
      </w:pPr>
    </w:p>
    <w:p w14:paraId="6E9387B1" w14:textId="77777777" w:rsidR="007247FC" w:rsidRPr="00F458CE" w:rsidRDefault="007247FC" w:rsidP="007247FC">
      <w:pPr>
        <w:spacing w:before="0" w:after="0"/>
        <w:rPr>
          <w:spacing w:val="-2"/>
          <w:szCs w:val="19"/>
        </w:rPr>
      </w:pPr>
    </w:p>
    <w:p w14:paraId="62D8654E" w14:textId="77777777" w:rsidR="007247FC" w:rsidRDefault="007247FC" w:rsidP="007247FC">
      <w:pPr>
        <w:spacing w:before="0" w:after="0"/>
        <w:rPr>
          <w:spacing w:val="-2"/>
          <w:sz w:val="18"/>
        </w:rPr>
      </w:pPr>
      <w:r w:rsidRPr="007A38B8">
        <w:rPr>
          <w:b/>
          <w:spacing w:val="-2"/>
          <w:sz w:val="18"/>
        </w:rPr>
        <w:t xml:space="preserve">Tablica </w:t>
      </w:r>
      <w:r>
        <w:rPr>
          <w:b/>
          <w:spacing w:val="-2"/>
          <w:sz w:val="18"/>
        </w:rPr>
        <w:t>1</w:t>
      </w:r>
      <w:r w:rsidRPr="007A38B8">
        <w:rPr>
          <w:b/>
          <w:spacing w:val="-2"/>
          <w:sz w:val="18"/>
        </w:rPr>
        <w:t xml:space="preserve">. </w:t>
      </w:r>
      <w:r>
        <w:rPr>
          <w:b/>
          <w:spacing w:val="-2"/>
          <w:sz w:val="18"/>
        </w:rPr>
        <w:t xml:space="preserve"> Sieć gazowa oraz odbiorcy i zużycie gazu z sieci w gospodarstwach domowych</w:t>
      </w:r>
    </w:p>
    <w:p w14:paraId="22B347C4" w14:textId="60617343" w:rsidR="007247FC" w:rsidRPr="00F458CE" w:rsidRDefault="007247FC" w:rsidP="007247FC">
      <w:pPr>
        <w:spacing w:before="0" w:after="0"/>
        <w:rPr>
          <w:sz w:val="12"/>
          <w:szCs w:val="12"/>
          <w:shd w:val="clear" w:color="auto" w:fill="FFFFFF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020"/>
        <w:gridCol w:w="1020"/>
        <w:gridCol w:w="1020"/>
      </w:tblGrid>
      <w:tr w:rsidR="007247FC" w:rsidRPr="0038453C" w14:paraId="0F677998" w14:textId="77777777" w:rsidTr="00221A48">
        <w:trPr>
          <w:trHeight w:val="315"/>
        </w:trPr>
        <w:tc>
          <w:tcPr>
            <w:tcW w:w="3798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52D4E94B" w14:textId="77777777" w:rsidR="007247FC" w:rsidRPr="0038453C" w:rsidRDefault="007247FC" w:rsidP="00221A4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4D06B9D6" w14:textId="77777777" w:rsidR="007247FC" w:rsidRPr="0038453C" w:rsidRDefault="007247FC" w:rsidP="00221A4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16142D8C" w14:textId="474548A2" w:rsidR="007247FC" w:rsidRPr="0038453C" w:rsidRDefault="007247FC" w:rsidP="007247FC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1F240F6E" w14:textId="77777777" w:rsidR="007247FC" w:rsidRPr="0038453C" w:rsidRDefault="007247FC" w:rsidP="00221A48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4570B1F2" w14:textId="4F2AD1E0" w:rsidR="007247FC" w:rsidRPr="0038453C" w:rsidRDefault="007247FC" w:rsidP="007247FC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2016=100</w:t>
            </w:r>
          </w:p>
        </w:tc>
      </w:tr>
      <w:tr w:rsidR="007247FC" w:rsidRPr="0038453C" w14:paraId="0487B776" w14:textId="77777777" w:rsidTr="00221A48">
        <w:trPr>
          <w:trHeight w:val="330"/>
        </w:trPr>
        <w:tc>
          <w:tcPr>
            <w:tcW w:w="379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0FB0662F" w14:textId="77777777" w:rsidR="007247FC" w:rsidRPr="0038453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gazowa w km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7D4CC1C2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149 037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04B22185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102,1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40BCB07A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152 217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21CB04E6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7247FC" w:rsidRPr="0038453C" w14:paraId="09DCC262" w14:textId="77777777" w:rsidTr="00221A48">
        <w:trPr>
          <w:trHeight w:val="315"/>
        </w:trPr>
        <w:tc>
          <w:tcPr>
            <w:tcW w:w="3798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6595DD6A" w14:textId="77777777" w:rsidR="007247FC" w:rsidRPr="0038453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Przyłącza prowadzące do budynków mieszkalnych i niemieszkalnych w tys. szt.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415C2A83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2 772,4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07D7B8DD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79DB9E85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2 870,3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795D42E8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7247FC" w:rsidRPr="0038453C" w14:paraId="010EB798" w14:textId="77777777" w:rsidTr="00221A48">
        <w:trPr>
          <w:trHeight w:val="478"/>
        </w:trPr>
        <w:tc>
          <w:tcPr>
            <w:tcW w:w="3798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7519E611" w14:textId="77777777" w:rsidR="007247FC" w:rsidRPr="0038453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Odbiorcy gazu z sieci w tys.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7D9C0A6A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7 458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6648889B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07AD8525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7 503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26D97FF6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7247FC" w:rsidRPr="0038453C" w14:paraId="430CEC22" w14:textId="77777777" w:rsidTr="00221A48">
        <w:trPr>
          <w:trHeight w:val="227"/>
        </w:trPr>
        <w:tc>
          <w:tcPr>
            <w:tcW w:w="3798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2CA5F0AD" w14:textId="77777777" w:rsidR="007247F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w tym w miastach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750EE800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6 433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57E73475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5BD456AD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6 454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7C0E1372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7247FC" w:rsidRPr="0038453C" w14:paraId="6DFF4B9A" w14:textId="77777777" w:rsidTr="00221A48">
        <w:trPr>
          <w:trHeight w:val="478"/>
        </w:trPr>
        <w:tc>
          <w:tcPr>
            <w:tcW w:w="3798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61CBA798" w14:textId="77777777" w:rsidR="007247F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Zużycie gazu z sieci (w ciągu roku) w GWh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5CE96ADA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45 035,8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01B517F9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1B6558B7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47 029,4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14:paraId="1A09333C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7247FC" w:rsidRPr="0038453C" w14:paraId="5A0C5F22" w14:textId="77777777" w:rsidTr="00221A48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445BC" w14:textId="77777777" w:rsidR="007247F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70DC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w tym w miastach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w GWh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F421A1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35 045,4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AD95B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156EC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36 179,6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04D91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7247FC" w:rsidRPr="0038453C" w14:paraId="446F7A9A" w14:textId="77777777" w:rsidTr="00221A48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A82AE" w14:textId="77777777" w:rsidR="007247FC" w:rsidRDefault="007247FC" w:rsidP="00221A4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na 1 mieszkańca w kWh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41331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1 513,9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131AB" w14:textId="77777777" w:rsidR="007247F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B320D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1 564,5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C2120" w14:textId="77777777" w:rsidR="007247FC" w:rsidRPr="0038453C" w:rsidRDefault="007247FC" w:rsidP="00221A4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</w:tbl>
    <w:p w14:paraId="03BF45B5" w14:textId="5009315A" w:rsidR="007247FC" w:rsidRPr="00EC1A34" w:rsidRDefault="007247FC" w:rsidP="007247FC">
      <w:pPr>
        <w:spacing w:before="0" w:after="0"/>
        <w:rPr>
          <w:sz w:val="12"/>
          <w:szCs w:val="12"/>
          <w:shd w:val="clear" w:color="auto" w:fill="FFFFFF"/>
        </w:rPr>
      </w:pPr>
    </w:p>
    <w:p w14:paraId="38C262EE" w14:textId="7440DFCE" w:rsidR="007247FC" w:rsidRDefault="007247FC" w:rsidP="007247FC">
      <w:pPr>
        <w:spacing w:before="0"/>
        <w:rPr>
          <w:szCs w:val="19"/>
          <w:shd w:val="clear" w:color="auto" w:fill="FFFFFF"/>
        </w:rPr>
      </w:pPr>
    </w:p>
    <w:p w14:paraId="5BE1E979" w14:textId="5968E675" w:rsidR="007247FC" w:rsidRPr="00AB4891" w:rsidRDefault="003C4231" w:rsidP="007247FC">
      <w:pPr>
        <w:spacing w:before="0"/>
        <w:rPr>
          <w:strike/>
          <w:szCs w:val="19"/>
          <w:shd w:val="clear" w:color="auto" w:fill="FFFFFF"/>
        </w:rPr>
      </w:pPr>
      <w:r w:rsidRPr="00AB4891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FAF63DD" wp14:editId="4BA5A75F">
                <wp:simplePos x="0" y="0"/>
                <wp:positionH relativeFrom="column">
                  <wp:posOffset>5237480</wp:posOffset>
                </wp:positionH>
                <wp:positionV relativeFrom="paragraph">
                  <wp:posOffset>370951</wp:posOffset>
                </wp:positionV>
                <wp:extent cx="1537970" cy="883285"/>
                <wp:effectExtent l="0" t="0" r="0" b="0"/>
                <wp:wrapTight wrapText="bothSides">
                  <wp:wrapPolygon edited="0">
                    <wp:start x="803" y="0"/>
                    <wp:lineTo x="803" y="20963"/>
                    <wp:lineTo x="20601" y="20963"/>
                    <wp:lineTo x="20601" y="0"/>
                    <wp:lineTo x="803" y="0"/>
                  </wp:wrapPolygon>
                </wp:wrapTight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8832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BBD89" w14:textId="1484D1C9" w:rsidR="003C4231" w:rsidRPr="00A755AB" w:rsidRDefault="003C4231" w:rsidP="00A755AB">
                            <w:pPr>
                              <w:pStyle w:val="tekstzboku"/>
                            </w:pPr>
                            <w:r w:rsidRPr="00A755AB">
                              <w:t>Zużycie gazu z sieci przez gospodarstwa domowe wzrosło o 4,4% w</w:t>
                            </w:r>
                            <w:r w:rsidR="00A755AB">
                              <w:t> </w:t>
                            </w:r>
                            <w:r w:rsidRPr="00A755AB">
                              <w:t>porównaniu do 2016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63DD" id="Prostokąt 18" o:spid="_x0000_s1029" style="position:absolute;margin-left:412.4pt;margin-top:29.2pt;width:121.1pt;height:69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" filled="f" stroked="f" strokeweight="1pt">
                <v:textbox>
                  <w:txbxContent>
                    <w:p w14:paraId="75ABBD89" w14:textId="1484D1C9" w:rsidR="003C4231" w:rsidRPr="00A755AB" w:rsidRDefault="003C4231" w:rsidP="00A755AB">
                      <w:pPr>
                        <w:pStyle w:val="tekstzboku"/>
                      </w:pPr>
                      <w:r w:rsidRPr="00A755AB">
                        <w:t>Zużycie gazu z sieci przez gospodarstwa domowe wzrosło o 4,4% w</w:t>
                      </w:r>
                      <w:r w:rsidR="00A755AB">
                        <w:t> </w:t>
                      </w:r>
                      <w:r w:rsidRPr="00A755AB">
                        <w:t>porównaniu do 2016 r.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247FC">
        <w:rPr>
          <w:szCs w:val="19"/>
          <w:shd w:val="clear" w:color="auto" w:fill="FFFFFF"/>
        </w:rPr>
        <w:t xml:space="preserve">Długość sieci gazowej rozdzielczej na obszarach wiejskich w 2017 r. wzrosła o 1,3 tys. km (o 1,9%) i wyniosła 71,1 tys. km, natomiast w miastach – o 2,0 tys. km (o 3,4%) i osiągnęła 59,9 tys. km. </w:t>
      </w:r>
    </w:p>
    <w:p w14:paraId="04C6B40E" w14:textId="72AFB2BD" w:rsidR="007247FC" w:rsidRPr="00AB4891" w:rsidRDefault="007247FC" w:rsidP="007247FC">
      <w:pPr>
        <w:spacing w:before="0"/>
        <w:rPr>
          <w:szCs w:val="19"/>
          <w:shd w:val="clear" w:color="auto" w:fill="FFFFFF"/>
        </w:rPr>
      </w:pPr>
      <w:r w:rsidRPr="00AB4891">
        <w:rPr>
          <w:szCs w:val="19"/>
          <w:shd w:val="clear" w:color="auto" w:fill="FFFFFF"/>
        </w:rPr>
        <w:t>Zużycie gazu z sieci przez gospodarstwa domowe w Polsce w 2017 r. w porównaniu do 2016</w:t>
      </w:r>
      <w:r>
        <w:rPr>
          <w:szCs w:val="19"/>
          <w:shd w:val="clear" w:color="auto" w:fill="FFFFFF"/>
        </w:rPr>
        <w:t xml:space="preserve"> r. </w:t>
      </w:r>
      <w:r w:rsidRPr="00AB4891">
        <w:rPr>
          <w:szCs w:val="19"/>
          <w:shd w:val="clear" w:color="auto" w:fill="FFFFFF"/>
        </w:rPr>
        <w:t>wzrosło o 4,4%</w:t>
      </w:r>
      <w:r>
        <w:rPr>
          <w:szCs w:val="19"/>
          <w:shd w:val="clear" w:color="auto" w:fill="FFFFFF"/>
        </w:rPr>
        <w:t>,</w:t>
      </w:r>
      <w:r w:rsidRPr="00AB4891">
        <w:rPr>
          <w:szCs w:val="19"/>
          <w:shd w:val="clear" w:color="auto" w:fill="FFFFFF"/>
        </w:rPr>
        <w:t xml:space="preserve"> przy równoczesnym wzroście liczby odbiorców o 0,6%. W miastach nastąpił wzrost zużycia </w:t>
      </w:r>
      <w:r>
        <w:rPr>
          <w:szCs w:val="19"/>
          <w:shd w:val="clear" w:color="auto" w:fill="FFFFFF"/>
        </w:rPr>
        <w:t xml:space="preserve">gazu </w:t>
      </w:r>
      <w:r w:rsidRPr="00AB4891">
        <w:rPr>
          <w:szCs w:val="19"/>
          <w:shd w:val="clear" w:color="auto" w:fill="FFFFFF"/>
        </w:rPr>
        <w:t>o 3,2%</w:t>
      </w:r>
      <w:r>
        <w:rPr>
          <w:szCs w:val="19"/>
          <w:shd w:val="clear" w:color="auto" w:fill="FFFFFF"/>
        </w:rPr>
        <w:t>,</w:t>
      </w:r>
      <w:r w:rsidRPr="00AB4891">
        <w:rPr>
          <w:szCs w:val="19"/>
          <w:shd w:val="clear" w:color="auto" w:fill="FFFFFF"/>
        </w:rPr>
        <w:t xml:space="preserve"> przy wzroście liczby odbiorców o 0,3%</w:t>
      </w:r>
      <w:r>
        <w:rPr>
          <w:szCs w:val="19"/>
          <w:shd w:val="clear" w:color="auto" w:fill="FFFFFF"/>
        </w:rPr>
        <w:t>.</w:t>
      </w:r>
      <w:r w:rsidRPr="00AB4891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N</w:t>
      </w:r>
      <w:r w:rsidRPr="00AB4891">
        <w:rPr>
          <w:szCs w:val="19"/>
          <w:shd w:val="clear" w:color="auto" w:fill="FFFFFF"/>
        </w:rPr>
        <w:t xml:space="preserve">a obszarach wiejskich </w:t>
      </w:r>
      <w:r>
        <w:rPr>
          <w:szCs w:val="19"/>
          <w:shd w:val="clear" w:color="auto" w:fill="FFFFFF"/>
        </w:rPr>
        <w:t xml:space="preserve">odnotowano wzrost </w:t>
      </w:r>
      <w:r w:rsidRPr="00AB4891">
        <w:rPr>
          <w:szCs w:val="19"/>
          <w:shd w:val="clear" w:color="auto" w:fill="FFFFFF"/>
        </w:rPr>
        <w:t>zużyci</w:t>
      </w:r>
      <w:r>
        <w:rPr>
          <w:szCs w:val="19"/>
          <w:shd w:val="clear" w:color="auto" w:fill="FFFFFF"/>
        </w:rPr>
        <w:t>a</w:t>
      </w:r>
      <w:r w:rsidRPr="00AB4891">
        <w:rPr>
          <w:szCs w:val="19"/>
          <w:shd w:val="clear" w:color="auto" w:fill="FFFFFF"/>
        </w:rPr>
        <w:t xml:space="preserve"> gazu</w:t>
      </w:r>
      <w:r>
        <w:rPr>
          <w:szCs w:val="19"/>
          <w:shd w:val="clear" w:color="auto" w:fill="FFFFFF"/>
        </w:rPr>
        <w:t xml:space="preserve"> – </w:t>
      </w:r>
      <w:r w:rsidRPr="00AB4891">
        <w:rPr>
          <w:szCs w:val="19"/>
          <w:shd w:val="clear" w:color="auto" w:fill="FFFFFF"/>
        </w:rPr>
        <w:t>o 8,6%,</w:t>
      </w:r>
      <w:r>
        <w:rPr>
          <w:szCs w:val="19"/>
          <w:shd w:val="clear" w:color="auto" w:fill="FFFFFF"/>
        </w:rPr>
        <w:t xml:space="preserve"> a</w:t>
      </w:r>
      <w:r w:rsidRPr="00AB4891">
        <w:rPr>
          <w:szCs w:val="19"/>
          <w:shd w:val="clear" w:color="auto" w:fill="FFFFFF"/>
        </w:rPr>
        <w:t xml:space="preserve"> liczba odbiorców </w:t>
      </w:r>
      <w:r>
        <w:rPr>
          <w:szCs w:val="19"/>
          <w:shd w:val="clear" w:color="auto" w:fill="FFFFFF"/>
        </w:rPr>
        <w:t xml:space="preserve">zwiększyła się </w:t>
      </w:r>
      <w:r w:rsidRPr="00AB4891">
        <w:rPr>
          <w:szCs w:val="19"/>
          <w:shd w:val="clear" w:color="auto" w:fill="FFFFFF"/>
        </w:rPr>
        <w:t>o 2,3%.</w:t>
      </w:r>
    </w:p>
    <w:p w14:paraId="55F6428B" w14:textId="2FC6FFB1" w:rsidR="007247FC" w:rsidRPr="00AB4891" w:rsidRDefault="007247FC" w:rsidP="007247FC">
      <w:pPr>
        <w:spacing w:before="0"/>
        <w:rPr>
          <w:strike/>
          <w:szCs w:val="19"/>
          <w:shd w:val="clear" w:color="auto" w:fill="FFFFFF"/>
        </w:rPr>
      </w:pPr>
      <w:r w:rsidRPr="00F96C0A">
        <w:rPr>
          <w:szCs w:val="19"/>
          <w:shd w:val="clear" w:color="auto" w:fill="FFFFFF"/>
        </w:rPr>
        <w:t>W porównaniu do 2016 r. z</w:t>
      </w:r>
      <w:r w:rsidR="00B54E0A">
        <w:rPr>
          <w:szCs w:val="19"/>
          <w:shd w:val="clear" w:color="auto" w:fill="FFFFFF"/>
        </w:rPr>
        <w:t>użycie gazu z sieci wzrosło o 1 993,6</w:t>
      </w:r>
      <w:r w:rsidRPr="00F96C0A">
        <w:rPr>
          <w:szCs w:val="19"/>
          <w:shd w:val="clear" w:color="auto" w:fill="FFFFFF"/>
        </w:rPr>
        <w:t xml:space="preserve"> GWh i wyniosło 6 268 kWh</w:t>
      </w:r>
      <w:r w:rsidRPr="00F96C0A">
        <w:rPr>
          <w:szCs w:val="19"/>
          <w:shd w:val="clear" w:color="auto" w:fill="FFFFFF"/>
          <w:vertAlign w:val="superscript"/>
        </w:rPr>
        <w:t xml:space="preserve"> </w:t>
      </w:r>
      <w:r w:rsidRPr="00F96C0A">
        <w:rPr>
          <w:szCs w:val="19"/>
          <w:shd w:val="clear" w:color="auto" w:fill="FFFFFF"/>
        </w:rPr>
        <w:t>na 1</w:t>
      </w:r>
      <w:r>
        <w:rPr>
          <w:szCs w:val="19"/>
          <w:shd w:val="clear" w:color="auto" w:fill="FFFFFF"/>
        </w:rPr>
        <w:t> </w:t>
      </w:r>
      <w:r w:rsidRPr="00F96C0A">
        <w:rPr>
          <w:szCs w:val="19"/>
          <w:shd w:val="clear" w:color="auto" w:fill="FFFFFF"/>
        </w:rPr>
        <w:t>odbiorcę, przy czym w miastach wyniosło ono 5 606 kWh, a na terenach wiejskich – 10 344 kWh.</w:t>
      </w:r>
      <w:r w:rsidRPr="00AB4891">
        <w:rPr>
          <w:szCs w:val="19"/>
          <w:shd w:val="clear" w:color="auto" w:fill="FFFFFF"/>
        </w:rPr>
        <w:t xml:space="preserve"> </w:t>
      </w:r>
    </w:p>
    <w:p w14:paraId="5F690B2F" w14:textId="2BC8599A" w:rsidR="00F802BE" w:rsidRDefault="00F802BE" w:rsidP="007247FC">
      <w:pPr>
        <w:pStyle w:val="Nagwek1"/>
      </w:pPr>
    </w:p>
    <w:p w14:paraId="05F8A939" w14:textId="77777777" w:rsidR="007247FC" w:rsidRDefault="007247FC" w:rsidP="007247FC">
      <w:pPr>
        <w:rPr>
          <w:lang w:eastAsia="pl-PL"/>
        </w:rPr>
      </w:pPr>
    </w:p>
    <w:p w14:paraId="7F4BD7E5" w14:textId="77777777" w:rsidR="007247FC" w:rsidRDefault="007247FC" w:rsidP="007247FC">
      <w:pPr>
        <w:rPr>
          <w:b/>
          <w:sz w:val="18"/>
          <w:szCs w:val="18"/>
          <w:shd w:val="clear" w:color="auto" w:fill="FFFFFF"/>
        </w:rPr>
      </w:pPr>
      <w:r w:rsidRPr="001022EA">
        <w:rPr>
          <w:b/>
          <w:sz w:val="18"/>
          <w:szCs w:val="18"/>
          <w:shd w:val="clear" w:color="auto" w:fill="FFFFFF"/>
        </w:rPr>
        <w:lastRenderedPageBreak/>
        <w:t xml:space="preserve">Wykres 1. </w:t>
      </w:r>
      <w:r>
        <w:rPr>
          <w:b/>
          <w:sz w:val="18"/>
          <w:szCs w:val="18"/>
          <w:shd w:val="clear" w:color="auto" w:fill="FFFFFF"/>
        </w:rPr>
        <w:t>Zużycie gazu z sieci na 1 mieszkańca w gospodarstwach domowych</w:t>
      </w:r>
      <w:r w:rsidRPr="001022EA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 xml:space="preserve">w 2017 r. </w:t>
      </w:r>
    </w:p>
    <w:p w14:paraId="319EF3C9" w14:textId="77777777" w:rsidR="0007492E" w:rsidRPr="001022EA" w:rsidRDefault="0007492E" w:rsidP="0007492E">
      <w:pPr>
        <w:spacing w:before="0" w:after="0"/>
        <w:rPr>
          <w:b/>
          <w:sz w:val="18"/>
          <w:szCs w:val="18"/>
          <w:shd w:val="clear" w:color="auto" w:fill="FFFFFF"/>
        </w:rPr>
      </w:pPr>
    </w:p>
    <w:p w14:paraId="1BA66A73" w14:textId="77777777" w:rsidR="007247FC" w:rsidRDefault="007247FC" w:rsidP="007247FC">
      <w:pPr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3232" behindDoc="0" locked="0" layoutInCell="1" allowOverlap="1" wp14:anchorId="6BCB804D" wp14:editId="01E148CF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124450" cy="3631223"/>
            <wp:effectExtent l="0" t="0" r="0" b="7620"/>
            <wp:wrapNone/>
            <wp:docPr id="250" name="Wykres 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5A4E73CD" w14:textId="77777777" w:rsidR="007247FC" w:rsidRDefault="007247FC" w:rsidP="007247FC">
      <w:pPr>
        <w:rPr>
          <w:shd w:val="clear" w:color="auto" w:fill="FFFFFF"/>
        </w:rPr>
      </w:pPr>
    </w:p>
    <w:p w14:paraId="0EBD57E4" w14:textId="77777777" w:rsidR="007247FC" w:rsidRDefault="007247FC" w:rsidP="007247FC">
      <w:pPr>
        <w:rPr>
          <w:shd w:val="clear" w:color="auto" w:fill="FFFFFF"/>
        </w:rPr>
      </w:pPr>
    </w:p>
    <w:p w14:paraId="10E18632" w14:textId="77777777" w:rsidR="007247FC" w:rsidRDefault="007247FC" w:rsidP="007247FC">
      <w:pPr>
        <w:rPr>
          <w:shd w:val="clear" w:color="auto" w:fill="FFFFFF"/>
        </w:rPr>
      </w:pPr>
    </w:p>
    <w:p w14:paraId="36E5E0C4" w14:textId="77777777" w:rsidR="007247FC" w:rsidRDefault="007247FC" w:rsidP="007247FC">
      <w:pPr>
        <w:rPr>
          <w:shd w:val="clear" w:color="auto" w:fill="FFFFFF"/>
        </w:rPr>
      </w:pPr>
    </w:p>
    <w:p w14:paraId="2BEC8650" w14:textId="77777777" w:rsidR="007247FC" w:rsidRDefault="007247FC" w:rsidP="007247FC">
      <w:pPr>
        <w:rPr>
          <w:shd w:val="clear" w:color="auto" w:fill="FFFFFF"/>
        </w:rPr>
      </w:pPr>
    </w:p>
    <w:p w14:paraId="2BE96D00" w14:textId="77777777" w:rsidR="007247FC" w:rsidRDefault="007247FC" w:rsidP="007247FC">
      <w:pPr>
        <w:rPr>
          <w:shd w:val="clear" w:color="auto" w:fill="FFFFFF"/>
        </w:rPr>
      </w:pPr>
    </w:p>
    <w:p w14:paraId="35076CD9" w14:textId="77777777" w:rsidR="007247FC" w:rsidRDefault="007247FC" w:rsidP="007247FC">
      <w:pPr>
        <w:rPr>
          <w:shd w:val="clear" w:color="auto" w:fill="FFFFFF"/>
        </w:rPr>
      </w:pPr>
    </w:p>
    <w:p w14:paraId="78E77E1F" w14:textId="77777777" w:rsidR="007247FC" w:rsidRDefault="007247FC" w:rsidP="007247FC">
      <w:pPr>
        <w:rPr>
          <w:shd w:val="clear" w:color="auto" w:fill="FFFFFF"/>
        </w:rPr>
      </w:pPr>
    </w:p>
    <w:p w14:paraId="63DE5B6D" w14:textId="77777777" w:rsidR="007247FC" w:rsidRDefault="007247FC" w:rsidP="007247FC">
      <w:pPr>
        <w:rPr>
          <w:shd w:val="clear" w:color="auto" w:fill="FFFFFF"/>
        </w:rPr>
      </w:pPr>
    </w:p>
    <w:p w14:paraId="646661A7" w14:textId="77777777" w:rsidR="007247FC" w:rsidRDefault="007247FC" w:rsidP="007247FC">
      <w:pPr>
        <w:rPr>
          <w:shd w:val="clear" w:color="auto" w:fill="FFFFFF"/>
        </w:rPr>
      </w:pPr>
    </w:p>
    <w:p w14:paraId="46BD2393" w14:textId="77777777" w:rsidR="007247FC" w:rsidRDefault="007247FC" w:rsidP="007247FC">
      <w:pPr>
        <w:rPr>
          <w:shd w:val="clear" w:color="auto" w:fill="FFFFFF"/>
        </w:rPr>
      </w:pPr>
    </w:p>
    <w:p w14:paraId="610AAB6C" w14:textId="77777777" w:rsidR="007247FC" w:rsidRDefault="007247FC" w:rsidP="007247FC">
      <w:pPr>
        <w:rPr>
          <w:shd w:val="clear" w:color="auto" w:fill="FFFFFF"/>
        </w:rPr>
      </w:pPr>
    </w:p>
    <w:p w14:paraId="715F3316" w14:textId="77777777" w:rsidR="007247FC" w:rsidRDefault="007247FC" w:rsidP="007247FC">
      <w:pPr>
        <w:rPr>
          <w:shd w:val="clear" w:color="auto" w:fill="FFFFFF"/>
        </w:rPr>
      </w:pPr>
    </w:p>
    <w:p w14:paraId="6C37BF90" w14:textId="77777777" w:rsidR="007247FC" w:rsidRDefault="007247FC" w:rsidP="007247FC">
      <w:pPr>
        <w:rPr>
          <w:shd w:val="clear" w:color="auto" w:fill="FFFFFF"/>
        </w:rPr>
      </w:pPr>
    </w:p>
    <w:p w14:paraId="31BCD8CC" w14:textId="77777777" w:rsidR="007247FC" w:rsidRDefault="007247FC" w:rsidP="007247FC">
      <w:pPr>
        <w:rPr>
          <w:shd w:val="clear" w:color="auto" w:fill="FFFFFF"/>
        </w:rPr>
      </w:pPr>
    </w:p>
    <w:p w14:paraId="145A1529" w14:textId="60E67C11" w:rsidR="007247FC" w:rsidRDefault="00476F30" w:rsidP="006341C5">
      <w:pPr>
        <w:pStyle w:val="Nagwek1"/>
        <w:spacing w:before="120" w:line="240" w:lineRule="exact"/>
      </w:pPr>
      <w:r w:rsidRPr="006341C5">
        <w:rPr>
          <w:rFonts w:ascii="Fira Sans" w:hAnsi="Fira Sans"/>
          <w:b/>
        </w:rPr>
        <w:t>Zużycie energii elektrycznej  w gospodarstwach domowych</w:t>
      </w:r>
      <w:r w:rsidR="005A3618">
        <w:rPr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73EFDE10" wp14:editId="1B3E774A">
                <wp:simplePos x="0" y="0"/>
                <wp:positionH relativeFrom="page">
                  <wp:align>right</wp:align>
                </wp:positionH>
                <wp:positionV relativeFrom="paragraph">
                  <wp:posOffset>72341</wp:posOffset>
                </wp:positionV>
                <wp:extent cx="1847850" cy="874395"/>
                <wp:effectExtent l="0" t="0" r="0" b="1905"/>
                <wp:wrapTight wrapText="bothSides">
                  <wp:wrapPolygon edited="0">
                    <wp:start x="668" y="0"/>
                    <wp:lineTo x="668" y="21176"/>
                    <wp:lineTo x="20709" y="21176"/>
                    <wp:lineTo x="20709" y="0"/>
                    <wp:lineTo x="668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693A" w14:textId="6DB0F976" w:rsidR="007247FC" w:rsidRPr="008D3A4B" w:rsidRDefault="007247FC" w:rsidP="007247FC">
                            <w:pPr>
                              <w:pStyle w:val="tekstzbok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W 2017 r. zużycie energii elektrycznej na 1 odbiorcę spadło o 0,2% w porównaniu do 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DE10" id="_x0000_s1030" type="#_x0000_t202" style="position:absolute;margin-left:94.3pt;margin-top:5.7pt;width:145.5pt;height:68.85pt;z-index:-2515752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" filled="f" stroked="f">
                <v:textbox>
                  <w:txbxContent>
                    <w:p w14:paraId="4C6E693A" w14:textId="6DB0F976" w:rsidR="007247FC" w:rsidRPr="008D3A4B" w:rsidRDefault="007247FC" w:rsidP="007247FC">
                      <w:pPr>
                        <w:pStyle w:val="tekstzboku"/>
                        <w:rPr>
                          <w:rFonts w:ascii="Calibri" w:hAnsi="Calibri" w:cs="Calibri"/>
                        </w:rPr>
                      </w:pPr>
                      <w:r>
                        <w:t>W 2017 r. zużycie energii elektrycznej na 1 odbiorcę spadło o 0,2% w porównaniu do 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8A8A038" w14:textId="04092E71" w:rsidR="007247FC" w:rsidRDefault="007247FC" w:rsidP="007247FC">
      <w:r>
        <w:t>W 2017 r. w porównaniu do roku poprzedniego zużycie energii elektrycznej na 1 odbiorcę w Polsce spadło o 0,2% i wyniosło 1 962,6 kWh, przy czym w miastach odnotowano spadek o 1,0% (1 736,8 kWh na 1 odbiorcę), a na obszarach wiejskich wzrost o 0,9% (2 407,3 kWh na</w:t>
      </w:r>
      <w:r w:rsidR="0007492E">
        <w:t> </w:t>
      </w:r>
      <w:r>
        <w:t>1 odbiorcę).</w:t>
      </w:r>
    </w:p>
    <w:p w14:paraId="481727EF" w14:textId="21D96529" w:rsidR="007247FC" w:rsidRDefault="007247FC" w:rsidP="007247FC">
      <w:r>
        <w:t>W ostatnich latach obserwuje się coraz mniejsze zużycie energii elektrycznej przez gospodarstwa domowe. Zjawisko to jest następstwem zmian w zachowaniach ludności, m.in.</w:t>
      </w:r>
      <w:r w:rsidR="0007492E">
        <w:t> </w:t>
      </w:r>
      <w:r>
        <w:t>poprzez wymianę sprzętów gospodarstwa domowego oraz źródeł światła na charakteryzujące się wyższą klasą energetyczną.</w:t>
      </w:r>
    </w:p>
    <w:p w14:paraId="3B63E061" w14:textId="77777777" w:rsidR="007247FC" w:rsidRDefault="007247FC" w:rsidP="007247FC"/>
    <w:p w14:paraId="01A3B9F1" w14:textId="48590CCC" w:rsidR="007247FC" w:rsidRDefault="007247FC" w:rsidP="005A3618">
      <w:pPr>
        <w:tabs>
          <w:tab w:val="left" w:pos="851"/>
        </w:tabs>
        <w:ind w:left="851" w:hanging="851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 xml:space="preserve">Wykres 2. </w:t>
      </w:r>
      <w:r w:rsidRPr="008103B2">
        <w:rPr>
          <w:b/>
          <w:sz w:val="18"/>
          <w:szCs w:val="18"/>
          <w:shd w:val="clear" w:color="auto" w:fill="FFFFFF"/>
        </w:rPr>
        <w:t xml:space="preserve">Zużycie energii elektrycznej na 1 mieszkańca </w:t>
      </w:r>
      <w:r w:rsidRPr="003E66CA">
        <w:rPr>
          <w:b/>
          <w:sz w:val="18"/>
          <w:szCs w:val="18"/>
          <w:shd w:val="clear" w:color="auto" w:fill="FFFFFF"/>
        </w:rPr>
        <w:t>miast w gospodarstwach domowych w</w:t>
      </w:r>
      <w:r w:rsidR="005A3618">
        <w:rPr>
          <w:b/>
          <w:sz w:val="18"/>
          <w:szCs w:val="18"/>
          <w:shd w:val="clear" w:color="auto" w:fill="FFFFFF"/>
        </w:rPr>
        <w:t> </w:t>
      </w:r>
      <w:r>
        <w:rPr>
          <w:b/>
          <w:sz w:val="18"/>
          <w:szCs w:val="18"/>
          <w:shd w:val="clear" w:color="auto" w:fill="FFFFFF"/>
        </w:rPr>
        <w:t>2017 r.</w:t>
      </w:r>
    </w:p>
    <w:p w14:paraId="0120F7B8" w14:textId="77777777" w:rsidR="007247FC" w:rsidRDefault="007247FC" w:rsidP="007247FC">
      <w:r w:rsidRPr="008103B2">
        <w:rPr>
          <w:b/>
          <w:noProof/>
          <w:sz w:val="18"/>
          <w:szCs w:val="18"/>
          <w:shd w:val="clear" w:color="auto" w:fill="FFFFFF"/>
          <w:lang w:eastAsia="pl-PL"/>
        </w:rPr>
        <w:drawing>
          <wp:anchor distT="0" distB="0" distL="114300" distR="114300" simplePos="0" relativeHeight="251747328" behindDoc="0" locked="0" layoutInCell="1" allowOverlap="1" wp14:anchorId="77445B5F" wp14:editId="2EFDE87A">
            <wp:simplePos x="0" y="0"/>
            <wp:positionH relativeFrom="margin">
              <wp:align>right</wp:align>
            </wp:positionH>
            <wp:positionV relativeFrom="paragraph">
              <wp:posOffset>69020</wp:posOffset>
            </wp:positionV>
            <wp:extent cx="5124450" cy="3332285"/>
            <wp:effectExtent l="0" t="0" r="0" b="1905"/>
            <wp:wrapNone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</w:p>
    <w:p w14:paraId="68CC04EA" w14:textId="77777777" w:rsidR="007247FC" w:rsidRDefault="007247FC" w:rsidP="007247FC"/>
    <w:p w14:paraId="75E57DC0" w14:textId="77777777" w:rsidR="007247FC" w:rsidRDefault="007247FC" w:rsidP="007247FC"/>
    <w:p w14:paraId="00162032" w14:textId="77777777" w:rsidR="007247FC" w:rsidRDefault="007247FC" w:rsidP="007247FC"/>
    <w:p w14:paraId="6BDDD1F0" w14:textId="77777777" w:rsidR="007247FC" w:rsidRDefault="007247FC" w:rsidP="007247FC"/>
    <w:p w14:paraId="37CBD1BC" w14:textId="77777777" w:rsidR="007247FC" w:rsidRDefault="007247FC" w:rsidP="007247FC"/>
    <w:p w14:paraId="2139EFFE" w14:textId="77777777" w:rsidR="007247FC" w:rsidRDefault="007247FC" w:rsidP="007247FC"/>
    <w:p w14:paraId="46B89CD1" w14:textId="77777777" w:rsidR="007247FC" w:rsidRDefault="007247FC" w:rsidP="007247FC"/>
    <w:p w14:paraId="3364EAF3" w14:textId="77777777" w:rsidR="007247FC" w:rsidRDefault="007247FC" w:rsidP="007247FC"/>
    <w:p w14:paraId="41962AC5" w14:textId="77777777" w:rsidR="007247FC" w:rsidRDefault="007247FC" w:rsidP="007247FC"/>
    <w:p w14:paraId="38F38DC6" w14:textId="77777777" w:rsidR="007247FC" w:rsidRDefault="007247FC" w:rsidP="007247FC"/>
    <w:p w14:paraId="7292C655" w14:textId="77777777" w:rsidR="007247FC" w:rsidRDefault="007247FC" w:rsidP="007247FC"/>
    <w:p w14:paraId="03CFB02E" w14:textId="77777777" w:rsidR="007247FC" w:rsidRDefault="007247FC" w:rsidP="007247FC"/>
    <w:p w14:paraId="51A68D95" w14:textId="77777777" w:rsidR="007247FC" w:rsidRDefault="007247FC" w:rsidP="007247FC"/>
    <w:p w14:paraId="75D9F335" w14:textId="77777777" w:rsidR="007247FC" w:rsidRPr="00C36A86" w:rsidRDefault="007247FC" w:rsidP="007247FC">
      <w:pPr>
        <w:spacing w:before="0" w:after="0"/>
        <w:rPr>
          <w:rFonts w:eastAsia="Times New Roman" w:cs="Times New Roman"/>
          <w:b/>
          <w:bCs/>
          <w:color w:val="001D77"/>
          <w:szCs w:val="19"/>
          <w:lang w:eastAsia="pl-PL"/>
        </w:rPr>
      </w:pPr>
      <w:r>
        <w:rPr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652215" wp14:editId="65D98C58">
                <wp:simplePos x="0" y="0"/>
                <wp:positionH relativeFrom="column">
                  <wp:posOffset>5219700</wp:posOffset>
                </wp:positionH>
                <wp:positionV relativeFrom="paragraph">
                  <wp:posOffset>97790</wp:posOffset>
                </wp:positionV>
                <wp:extent cx="1656080" cy="9906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D2F1" w14:textId="1103435B" w:rsidR="007247FC" w:rsidRDefault="007247FC" w:rsidP="007247FC">
                            <w:pPr>
                              <w:pStyle w:val="tekstzboku"/>
                            </w:pPr>
                            <w:r>
                              <w:t>Największe zagęszczenie sieci cieplnej wystąpiło w województwie śląskim, a najmniejsze w województwie lubuskim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2215" id="Text Box 23" o:spid="_x0000_s1031" type="#_x0000_t202" style="position:absolute;margin-left:411pt;margin-top:7.7pt;width:130.4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" filled="f" stroked="f">
                <v:fill opacity="0"/>
                <v:textbox>
                  <w:txbxContent>
                    <w:p w14:paraId="0163D2F1" w14:textId="1103435B" w:rsidR="007247FC" w:rsidRDefault="007247FC" w:rsidP="007247FC">
                      <w:pPr>
                        <w:pStyle w:val="tekstzboku"/>
                      </w:pPr>
                      <w:r>
                        <w:t>Największe zagęszczenie sieci cieplnej wystąpiło w województwie śląskim, a najmniejsze w województwie lubuskim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001D77"/>
          <w:szCs w:val="19"/>
          <w:lang w:eastAsia="pl-PL"/>
        </w:rPr>
        <w:t>Sieć cieplna</w:t>
      </w:r>
    </w:p>
    <w:p w14:paraId="45544066" w14:textId="77777777" w:rsidR="007247FC" w:rsidRPr="00E2731E" w:rsidRDefault="007247FC" w:rsidP="007247FC">
      <w:pPr>
        <w:spacing w:before="0" w:after="0" w:line="240" w:lineRule="auto"/>
        <w:rPr>
          <w:rFonts w:eastAsia="Times New Roman" w:cs="Times New Roman"/>
          <w:bCs/>
          <w:color w:val="001D77"/>
          <w:sz w:val="12"/>
          <w:szCs w:val="12"/>
          <w:lang w:eastAsia="pl-PL"/>
        </w:rPr>
      </w:pPr>
    </w:p>
    <w:p w14:paraId="4C37648B" w14:textId="77777777" w:rsidR="007247FC" w:rsidRDefault="007247FC" w:rsidP="007247FC">
      <w:pPr>
        <w:spacing w:before="0" w:after="0"/>
        <w:rPr>
          <w:spacing w:val="-2"/>
          <w:szCs w:val="19"/>
        </w:rPr>
      </w:pPr>
      <w:r>
        <w:rPr>
          <w:spacing w:val="-2"/>
          <w:szCs w:val="19"/>
        </w:rPr>
        <w:t>Długość sieci cieplnej ogółem w 2017 r. wyniosła 25 232,2 km, z czego na długość sieci cieplnej przesyłowej przypadało 16 381,1 km, a na przyłącza do budynków 8 851,1 km. W układzie przestrzennym kraju największe zagęszczenie sieci cieplnej wystąpiło na terenach województw: śląskiego (30,1 km na 100 km</w:t>
      </w:r>
      <w:r>
        <w:rPr>
          <w:spacing w:val="-2"/>
          <w:szCs w:val="19"/>
          <w:vertAlign w:val="superscript"/>
        </w:rPr>
        <w:t>2</w:t>
      </w:r>
      <w:r>
        <w:rPr>
          <w:spacing w:val="-2"/>
          <w:szCs w:val="19"/>
        </w:rPr>
        <w:t>), małopolskiego (12,8 km na 100 km</w:t>
      </w:r>
      <w:r>
        <w:rPr>
          <w:spacing w:val="-2"/>
          <w:szCs w:val="19"/>
          <w:vertAlign w:val="superscript"/>
        </w:rPr>
        <w:t>2</w:t>
      </w:r>
      <w:r>
        <w:rPr>
          <w:spacing w:val="-2"/>
          <w:szCs w:val="19"/>
        </w:rPr>
        <w:t>), łódzkiego (11,5 km na 100 km</w:t>
      </w:r>
      <w:r>
        <w:rPr>
          <w:spacing w:val="-2"/>
          <w:szCs w:val="19"/>
          <w:vertAlign w:val="superscript"/>
        </w:rPr>
        <w:t>2</w:t>
      </w:r>
      <w:r>
        <w:rPr>
          <w:spacing w:val="-2"/>
          <w:szCs w:val="19"/>
        </w:rPr>
        <w:t>) oraz</w:t>
      </w:r>
      <w:r w:rsidRPr="008D3372">
        <w:rPr>
          <w:spacing w:val="-2"/>
          <w:szCs w:val="19"/>
        </w:rPr>
        <w:t xml:space="preserve"> </w:t>
      </w:r>
      <w:r>
        <w:rPr>
          <w:spacing w:val="-2"/>
          <w:szCs w:val="19"/>
        </w:rPr>
        <w:t>pomorskiego (10,2 km na 100 km</w:t>
      </w:r>
      <w:r>
        <w:rPr>
          <w:spacing w:val="-2"/>
          <w:szCs w:val="19"/>
          <w:vertAlign w:val="superscript"/>
        </w:rPr>
        <w:t>2</w:t>
      </w:r>
      <w:r>
        <w:rPr>
          <w:spacing w:val="-2"/>
          <w:szCs w:val="19"/>
        </w:rPr>
        <w:t>), natomiast najmniejsze – w województwie lubuskim (3,6 km na 100 km</w:t>
      </w:r>
      <w:r>
        <w:rPr>
          <w:spacing w:val="-2"/>
          <w:szCs w:val="19"/>
          <w:vertAlign w:val="superscript"/>
        </w:rPr>
        <w:t>2</w:t>
      </w:r>
      <w:r>
        <w:rPr>
          <w:spacing w:val="-2"/>
          <w:szCs w:val="19"/>
        </w:rPr>
        <w:t>).</w:t>
      </w:r>
    </w:p>
    <w:p w14:paraId="4D3C5D45" w14:textId="77777777" w:rsidR="007247FC" w:rsidRDefault="007247FC" w:rsidP="0007492E">
      <w:pPr>
        <w:rPr>
          <w:b/>
          <w:spacing w:val="-2"/>
          <w:sz w:val="18"/>
        </w:rPr>
      </w:pPr>
    </w:p>
    <w:p w14:paraId="7B48B0C5" w14:textId="77777777" w:rsidR="007247FC" w:rsidRPr="001022EA" w:rsidRDefault="007247FC" w:rsidP="007247FC">
      <w:pPr>
        <w:spacing w:before="0" w:after="0"/>
        <w:rPr>
          <w:b/>
          <w:spacing w:val="-2"/>
          <w:sz w:val="18"/>
        </w:rPr>
      </w:pPr>
      <w:r>
        <w:rPr>
          <w:b/>
          <w:spacing w:val="-2"/>
          <w:sz w:val="18"/>
        </w:rPr>
        <w:t>Wykres 3</w:t>
      </w:r>
      <w:r w:rsidRPr="001022EA">
        <w:rPr>
          <w:b/>
          <w:spacing w:val="-2"/>
          <w:sz w:val="18"/>
        </w:rPr>
        <w:t xml:space="preserve">. </w:t>
      </w:r>
      <w:r>
        <w:rPr>
          <w:b/>
          <w:spacing w:val="-2"/>
          <w:sz w:val="18"/>
        </w:rPr>
        <w:t xml:space="preserve">Infrastruktura sieci cieplnej w </w:t>
      </w:r>
      <w:r w:rsidRPr="001022EA">
        <w:rPr>
          <w:b/>
          <w:spacing w:val="-2"/>
          <w:sz w:val="18"/>
        </w:rPr>
        <w:t>2017</w:t>
      </w:r>
      <w:r>
        <w:rPr>
          <w:b/>
          <w:spacing w:val="-2"/>
          <w:sz w:val="18"/>
        </w:rPr>
        <w:t xml:space="preserve"> r.</w:t>
      </w:r>
    </w:p>
    <w:p w14:paraId="2EB26EF4" w14:textId="77777777" w:rsidR="007247FC" w:rsidRPr="00E2731E" w:rsidRDefault="007247FC" w:rsidP="007247FC">
      <w:pPr>
        <w:spacing w:before="0" w:after="0"/>
        <w:jc w:val="both"/>
        <w:rPr>
          <w:spacing w:val="-2"/>
          <w:sz w:val="12"/>
          <w:szCs w:val="12"/>
        </w:rPr>
      </w:pPr>
      <w:r>
        <w:rPr>
          <w:noProof/>
          <w:lang w:eastAsia="pl-PL"/>
        </w:rPr>
        <w:drawing>
          <wp:anchor distT="0" distB="0" distL="114300" distR="114300" simplePos="0" relativeHeight="251746304" behindDoc="0" locked="0" layoutInCell="1" allowOverlap="1" wp14:anchorId="65E9EA9A" wp14:editId="03DBCD1B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5124450" cy="5372100"/>
            <wp:effectExtent l="0" t="0" r="0" b="0"/>
            <wp:wrapNone/>
            <wp:docPr id="15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74403" w14:textId="77777777" w:rsidR="007247FC" w:rsidRDefault="007247FC" w:rsidP="007247FC">
      <w:pPr>
        <w:spacing w:before="0" w:after="0"/>
        <w:rPr>
          <w:spacing w:val="-2"/>
          <w:szCs w:val="19"/>
        </w:rPr>
      </w:pPr>
    </w:p>
    <w:p w14:paraId="44D8D180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CE9EDFF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55C28F4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7B9BDFE5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25E94A6E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01D929B8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03221D76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ED0F26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0EFAB7C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59278FB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1F381339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546239C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2ED0F077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20A5C21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1213194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01BCE85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729687B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1A9A1699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2461A2E2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50B26D86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68209B1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45EA093C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3E711AC3" w14:textId="77777777" w:rsidR="007247FC" w:rsidRDefault="007247FC" w:rsidP="007247FC">
      <w:pPr>
        <w:spacing w:before="0"/>
        <w:rPr>
          <w:spacing w:val="-2"/>
          <w:szCs w:val="19"/>
        </w:rPr>
      </w:pPr>
    </w:p>
    <w:p w14:paraId="141C8E1F" w14:textId="77777777" w:rsidR="007247FC" w:rsidRDefault="007247FC" w:rsidP="007247FC">
      <w:pPr>
        <w:spacing w:before="0"/>
        <w:rPr>
          <w:spacing w:val="-2"/>
          <w:szCs w:val="19"/>
        </w:rPr>
      </w:pPr>
      <w:r>
        <w:rPr>
          <w:b/>
          <w:noProof/>
          <w:color w:val="212492"/>
          <w:spacing w:val="-2"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1B2F4868" wp14:editId="7FF97D9E">
                <wp:simplePos x="0" y="0"/>
                <wp:positionH relativeFrom="column">
                  <wp:posOffset>5214620</wp:posOffset>
                </wp:positionH>
                <wp:positionV relativeFrom="paragraph">
                  <wp:posOffset>178112</wp:posOffset>
                </wp:positionV>
                <wp:extent cx="1567180" cy="868363"/>
                <wp:effectExtent l="0" t="0" r="0" b="0"/>
                <wp:wrapTight wrapText="bothSides">
                  <wp:wrapPolygon edited="0">
                    <wp:start x="788" y="0"/>
                    <wp:lineTo x="788" y="20857"/>
                    <wp:lineTo x="20742" y="20857"/>
                    <wp:lineTo x="20742" y="0"/>
                    <wp:lineTo x="788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868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ED7A" w14:textId="20433280" w:rsidR="007247FC" w:rsidRPr="00074DD8" w:rsidRDefault="007247FC" w:rsidP="007247FC">
                            <w:pPr>
                              <w:pStyle w:val="tekstzboku"/>
                              <w:spacing w:before="0"/>
                            </w:pPr>
                            <w:r>
                              <w:t>Ponad 98% energii cieplnej sprzedano mieszkańcom miast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4868" id="_x0000_s1032" type="#_x0000_t202" style="position:absolute;margin-left:410.6pt;margin-top:14pt;width:123.4pt;height:68.4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" filled="f" stroked="f">
                <v:textbox>
                  <w:txbxContent>
                    <w:p w14:paraId="3233ED7A" w14:textId="20433280" w:rsidR="007247FC" w:rsidRPr="00074DD8" w:rsidRDefault="007247FC" w:rsidP="007247FC">
                      <w:pPr>
                        <w:pStyle w:val="tekstzboku"/>
                        <w:spacing w:before="0"/>
                      </w:pPr>
                      <w:r>
                        <w:t>Ponad 98% energii cieplnej sprzedano mieszkańcom miast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850897" w14:textId="77777777" w:rsidR="007247FC" w:rsidRPr="00F458CE" w:rsidRDefault="007247FC" w:rsidP="007247FC">
      <w:pPr>
        <w:spacing w:before="0"/>
        <w:rPr>
          <w:spacing w:val="-2"/>
          <w:szCs w:val="19"/>
        </w:rPr>
      </w:pPr>
      <w:r>
        <w:rPr>
          <w:spacing w:val="-2"/>
          <w:szCs w:val="19"/>
        </w:rPr>
        <w:t>W 2017 r. sprzedano 205,1 tys. TJ energii cieplnej, z czego na potrzeby ogrzewania budynków mieszkalnych 158,3 tys. TJ (77,2%). Około 201,7 tys. TJ (98,3%) energii cieplnej sprzedano mieszkańcom miast, w tym około 156,2 tys. TJ na potrzeby ogrzewania budynków mieszkalnych.</w:t>
      </w:r>
    </w:p>
    <w:p w14:paraId="58A74DB7" w14:textId="77777777" w:rsidR="007247FC" w:rsidRPr="00270FD2" w:rsidRDefault="007247FC" w:rsidP="007247FC">
      <w:pPr>
        <w:spacing w:before="0"/>
        <w:rPr>
          <w:spacing w:val="-2"/>
          <w:szCs w:val="19"/>
        </w:rPr>
      </w:pPr>
      <w:r>
        <w:rPr>
          <w:spacing w:val="-2"/>
          <w:szCs w:val="19"/>
        </w:rPr>
        <w:t>Najwięcej energii cieplnej na cele grzewcze zostało wyprodukowane przy wykorzystaniu paliwa stałego (66,2%), w następnej kolejności gazu (31,7%) oraz oleju (2,1%).</w:t>
      </w: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1550D50" wp14:editId="56EC73BA">
                <wp:simplePos x="0" y="0"/>
                <wp:positionH relativeFrom="column">
                  <wp:posOffset>5208905</wp:posOffset>
                </wp:positionH>
                <wp:positionV relativeFrom="paragraph">
                  <wp:posOffset>1017270</wp:posOffset>
                </wp:positionV>
                <wp:extent cx="1567180" cy="918845"/>
                <wp:effectExtent l="0" t="0" r="0" b="0"/>
                <wp:wrapTight wrapText="bothSides">
                  <wp:wrapPolygon edited="0">
                    <wp:start x="788" y="0"/>
                    <wp:lineTo x="788" y="21048"/>
                    <wp:lineTo x="20742" y="21048"/>
                    <wp:lineTo x="20742" y="0"/>
                    <wp:lineTo x="788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466B" w14:textId="77777777" w:rsidR="007247FC" w:rsidRPr="00074DD8" w:rsidRDefault="007247FC" w:rsidP="007247FC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0D50" id="_x0000_s1033" type="#_x0000_t202" style="position:absolute;margin-left:410.15pt;margin-top:80.1pt;width:123.4pt;height:72.3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" filled="f" stroked="f">
                <v:textbox>
                  <w:txbxContent>
                    <w:p w14:paraId="2552466B" w14:textId="77777777" w:rsidR="007247FC" w:rsidRPr="00074DD8" w:rsidRDefault="007247FC" w:rsidP="007247FC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144E5">
        <w:rPr>
          <w:spacing w:val="-2"/>
          <w:szCs w:val="19"/>
        </w:rPr>
        <w:t xml:space="preserve"> </w:t>
      </w:r>
    </w:p>
    <w:p w14:paraId="255D3C8D" w14:textId="77777777" w:rsidR="007247FC" w:rsidRDefault="007247FC" w:rsidP="007247FC">
      <w:pPr>
        <w:rPr>
          <w:spacing w:val="-2"/>
          <w:sz w:val="18"/>
        </w:rPr>
      </w:pPr>
    </w:p>
    <w:p w14:paraId="04E8A340" w14:textId="77777777" w:rsidR="007247FC" w:rsidRDefault="007247FC" w:rsidP="007247FC">
      <w:pPr>
        <w:rPr>
          <w:spacing w:val="-2"/>
          <w:sz w:val="18"/>
        </w:rPr>
      </w:pPr>
    </w:p>
    <w:p w14:paraId="03CEFEF8" w14:textId="77777777" w:rsidR="007247FC" w:rsidRDefault="007247FC" w:rsidP="00E76D26">
      <w:pPr>
        <w:rPr>
          <w:sz w:val="18"/>
        </w:rPr>
      </w:pPr>
    </w:p>
    <w:p w14:paraId="3718218C" w14:textId="77777777" w:rsidR="007247FC" w:rsidRDefault="007247FC" w:rsidP="00E76D26">
      <w:pPr>
        <w:rPr>
          <w:sz w:val="18"/>
        </w:rPr>
      </w:pPr>
    </w:p>
    <w:p w14:paraId="33CBCD34" w14:textId="77777777" w:rsidR="007247FC" w:rsidRDefault="007247FC" w:rsidP="00E76D26">
      <w:pPr>
        <w:rPr>
          <w:sz w:val="18"/>
        </w:rPr>
      </w:pPr>
    </w:p>
    <w:p w14:paraId="5F690BA8" w14:textId="77777777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5F690BA9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4"/>
        <w:gridCol w:w="3823"/>
      </w:tblGrid>
      <w:tr w:rsidR="000470AA" w:rsidRPr="00476F30" w14:paraId="5F690BB3" w14:textId="77777777" w:rsidTr="00E23337">
        <w:trPr>
          <w:trHeight w:val="1912"/>
        </w:trPr>
        <w:tc>
          <w:tcPr>
            <w:tcW w:w="4379" w:type="dxa"/>
          </w:tcPr>
          <w:p w14:paraId="5F690BAA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F690BAB" w14:textId="0A7419E8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5A361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5F690BAC" w14:textId="7277095B" w:rsidR="000470AA" w:rsidRPr="00BB4F09" w:rsidRDefault="007247FC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Marek Sobczyk</w:t>
            </w:r>
          </w:p>
          <w:p w14:paraId="5F690BAD" w14:textId="25F523D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7247F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34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247F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22</w:t>
            </w:r>
          </w:p>
          <w:p w14:paraId="5F690BAE" w14:textId="6F600391" w:rsidR="000470AA" w:rsidRPr="008F3638" w:rsidRDefault="000470AA" w:rsidP="007247F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DA7D39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="007247FC" w:rsidRPr="00DA7D39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m.sobczyk@stat.gov.pl</w:t>
              </w:r>
            </w:hyperlink>
          </w:p>
        </w:tc>
        <w:tc>
          <w:tcPr>
            <w:tcW w:w="3942" w:type="dxa"/>
          </w:tcPr>
          <w:p w14:paraId="5F690BAF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F690BB0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F690BB1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5F690BB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5F690BB4" w14:textId="77777777" w:rsidR="000470AA" w:rsidRPr="00DA7D39" w:rsidRDefault="000470AA" w:rsidP="000470AA">
      <w:pPr>
        <w:rPr>
          <w:sz w:val="20"/>
          <w:lang w:val="en-GB"/>
        </w:rPr>
      </w:pPr>
    </w:p>
    <w:p w14:paraId="5F690BB5" w14:textId="77777777" w:rsidR="000470AA" w:rsidRPr="00DA7D39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5F690BBC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F690BB6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F690BB7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5F690BB8" w14:textId="77777777" w:rsidR="000470AA" w:rsidRPr="00DA7D39" w:rsidRDefault="000470AA" w:rsidP="000470AA">
            <w:pPr>
              <w:rPr>
                <w:sz w:val="20"/>
                <w:lang w:val="en-GB"/>
              </w:rPr>
            </w:pPr>
            <w:r w:rsidRPr="00DA7D39">
              <w:rPr>
                <w:b/>
                <w:sz w:val="20"/>
                <w:lang w:val="en-GB"/>
              </w:rPr>
              <w:t>faks:</w:t>
            </w:r>
            <w:r w:rsidR="00097840" w:rsidRPr="00DA7D39">
              <w:rPr>
                <w:sz w:val="20"/>
                <w:lang w:val="en-GB"/>
              </w:rPr>
              <w:t xml:space="preserve"> 22</w:t>
            </w:r>
            <w:r w:rsidRPr="00DA7D39">
              <w:rPr>
                <w:sz w:val="20"/>
                <w:lang w:val="en-GB"/>
              </w:rPr>
              <w:t xml:space="preserve"> 608 38 86 </w:t>
            </w:r>
          </w:p>
          <w:p w14:paraId="5F690BB9" w14:textId="77777777" w:rsidR="000470AA" w:rsidRPr="00DA7D39" w:rsidRDefault="000470AA" w:rsidP="000470AA">
            <w:pPr>
              <w:rPr>
                <w:sz w:val="18"/>
                <w:lang w:val="en-GB"/>
              </w:rPr>
            </w:pPr>
            <w:r w:rsidRPr="00DA7D39">
              <w:rPr>
                <w:b/>
                <w:sz w:val="20"/>
                <w:lang w:val="en-GB"/>
              </w:rPr>
              <w:t>e-mail:</w:t>
            </w:r>
            <w:r w:rsidRPr="00DA7D39">
              <w:rPr>
                <w:sz w:val="20"/>
                <w:lang w:val="en-GB"/>
              </w:rPr>
              <w:t xml:space="preserve"> </w:t>
            </w:r>
            <w:hyperlink r:id="rId22" w:history="1">
              <w:r w:rsidRPr="00DA7D39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F690BBA" w14:textId="77777777" w:rsidR="000470AA" w:rsidRPr="00DA7D39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690BD0" wp14:editId="5F690BD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F690BBB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5F690BC0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690BBD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690BBE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690BD2" wp14:editId="5F690BD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690BBF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F690BC4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690BC1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690BC2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690BD4" wp14:editId="5F690BD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690BC3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F690BC5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690BD6" wp14:editId="5F690BD7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0BF6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F690BF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5F690BF8" w14:textId="14329192" w:rsidR="00AB6D25" w:rsidRPr="00673C26" w:rsidRDefault="002E2A1B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7247FC" w:rsidRPr="000E218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Infrastruktura komunalna w 20</w:t>
                              </w:r>
                              <w:r w:rsidR="007247F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16</w:t>
                              </w:r>
                              <w:r w:rsidR="007247FC" w:rsidRPr="000E218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r.</w:t>
                              </w:r>
                            </w:hyperlink>
                          </w:p>
                          <w:p w14:paraId="5F690BFB" w14:textId="73074290" w:rsidR="00673C26" w:rsidRPr="00673C26" w:rsidRDefault="00673C2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5F690BFC" w14:textId="77777777" w:rsidR="00673C26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F690BFD" w14:textId="77777777" w:rsidR="00AB6D25" w:rsidRPr="00505A92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F690C00" w14:textId="72F843F4" w:rsidR="00AB6D25" w:rsidRDefault="002E2A1B" w:rsidP="00AB6D25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7247FC" w:rsidRPr="000E218E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14:paraId="23EB8E94" w14:textId="77777777" w:rsidR="007247FC" w:rsidRDefault="007247FC" w:rsidP="00AB6D25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EC97EA9" w14:textId="77777777" w:rsidR="007247FC" w:rsidRDefault="007247F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F690C01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012078E1" w14:textId="77777777" w:rsidR="007247FC" w:rsidRPr="008D3A4B" w:rsidRDefault="002E2A1B" w:rsidP="007247FC">
                            <w:pPr>
                              <w:spacing w:before="0" w:after="0" w:line="240" w:lineRule="auto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28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  <w:szCs w:val="21"/>
                                </w:rPr>
                                <w:t>Sieć przesyłowa gazowa</w:t>
                              </w:r>
                            </w:hyperlink>
                          </w:p>
                          <w:p w14:paraId="55C9FBB8" w14:textId="77777777" w:rsidR="007247FC" w:rsidRPr="008D3A4B" w:rsidRDefault="002E2A1B" w:rsidP="007247FC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0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29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  <w:szCs w:val="21"/>
                                </w:rPr>
                                <w:t>Sieć rozdzielcza gazowa</w:t>
                              </w:r>
                            </w:hyperlink>
                          </w:p>
                          <w:p w14:paraId="40CAB396" w14:textId="77777777" w:rsidR="007247FC" w:rsidRPr="008D3A4B" w:rsidRDefault="002E2A1B" w:rsidP="007247FC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0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30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  <w:szCs w:val="21"/>
                                </w:rPr>
                                <w:t>Przyłącze do sieci gazowej</w:t>
                              </w:r>
                            </w:hyperlink>
                          </w:p>
                          <w:p w14:paraId="3B585C75" w14:textId="77777777" w:rsidR="007247FC" w:rsidRPr="008D3A4B" w:rsidRDefault="002E2A1B" w:rsidP="007247FC">
                            <w:pPr>
                              <w:spacing w:before="0" w:after="0" w:line="240" w:lineRule="auto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31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  <w:szCs w:val="21"/>
                                </w:rPr>
                                <w:t>Odbiorca gazu</w:t>
                              </w:r>
                            </w:hyperlink>
                          </w:p>
                          <w:p w14:paraId="47DFBB9C" w14:textId="77777777" w:rsidR="007247FC" w:rsidRPr="008D3A4B" w:rsidRDefault="002E2A1B" w:rsidP="007247FC">
                            <w:pPr>
                              <w:spacing w:before="0" w:after="0" w:line="240" w:lineRule="auto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32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  <w:szCs w:val="21"/>
                                </w:rPr>
                                <w:t>Zużycie gazu w gospodarstwach domowych</w:t>
                              </w:r>
                            </w:hyperlink>
                          </w:p>
                          <w:p w14:paraId="6D2D37F8" w14:textId="77777777" w:rsidR="007247FC" w:rsidRPr="008D3A4B" w:rsidRDefault="002E2A1B" w:rsidP="007247FC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0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33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</w:rPr>
                                <w:t>Sieć cieplna rozdzielcza</w:t>
                              </w:r>
                            </w:hyperlink>
                          </w:p>
                          <w:p w14:paraId="7AC91F4C" w14:textId="77777777" w:rsidR="007247FC" w:rsidRPr="008D3A4B" w:rsidRDefault="002E2A1B" w:rsidP="007247FC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0"/>
                              <w:rPr>
                                <w:rFonts w:cs="Arial"/>
                                <w:color w:val="222222"/>
                                <w:sz w:val="18"/>
                                <w:szCs w:val="21"/>
                              </w:rPr>
                            </w:pPr>
                            <w:hyperlink r:id="rId34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</w:rPr>
                                <w:t>Sieć cieplna przesyłowa</w:t>
                              </w:r>
                            </w:hyperlink>
                          </w:p>
                          <w:p w14:paraId="10C2B0B5" w14:textId="77777777" w:rsidR="007247FC" w:rsidRPr="008D3A4B" w:rsidRDefault="002E2A1B" w:rsidP="007247FC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1"/>
                              </w:rPr>
                            </w:pPr>
                            <w:hyperlink r:id="rId35" w:history="1">
                              <w:r w:rsidR="007247FC" w:rsidRPr="008D3A4B">
                                <w:rPr>
                                  <w:rStyle w:val="Hipercze"/>
                                  <w:rFonts w:cs="Arial"/>
                                  <w:sz w:val="18"/>
                                </w:rPr>
                                <w:t>Zużycie energii</w:t>
                              </w:r>
                            </w:hyperlink>
                          </w:p>
                          <w:p w14:paraId="5F690C04" w14:textId="77777777" w:rsidR="00AB6D25" w:rsidRPr="00505A92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0BD6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5F690BF6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5F690BF7" w14:textId="77777777" w:rsidR="00AB6D25" w:rsidRDefault="00AB6D25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5F690BF8" w14:textId="14329192" w:rsidR="00AB6D25" w:rsidRPr="00673C26" w:rsidRDefault="006341C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7247FC" w:rsidRPr="000E218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Infrastruktura komunalna w 20</w:t>
                        </w:r>
                        <w:r w:rsidR="007247F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16</w:t>
                        </w:r>
                        <w:r w:rsidR="007247FC" w:rsidRPr="000E218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 r.</w:t>
                        </w:r>
                      </w:hyperlink>
                    </w:p>
                    <w:p w14:paraId="5F690BFB" w14:textId="73074290" w:rsidR="00673C26" w:rsidRPr="00673C26" w:rsidRDefault="00673C2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5F690BFC" w14:textId="77777777" w:rsidR="00673C26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F690BFD" w14:textId="77777777" w:rsidR="00AB6D25" w:rsidRPr="00505A92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5F690C00" w14:textId="72F843F4" w:rsidR="00AB6D25" w:rsidRDefault="006341C5" w:rsidP="00AB6D25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7247FC" w:rsidRPr="000E218E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14:paraId="23EB8E94" w14:textId="77777777" w:rsidR="007247FC" w:rsidRDefault="007247FC" w:rsidP="00AB6D25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EC97EA9" w14:textId="77777777" w:rsidR="007247FC" w:rsidRDefault="007247F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F690C01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012078E1" w14:textId="77777777" w:rsidR="007247FC" w:rsidRPr="008D3A4B" w:rsidRDefault="006341C5" w:rsidP="007247FC">
                      <w:pPr>
                        <w:spacing w:before="0" w:after="0" w:line="240" w:lineRule="auto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38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  <w:szCs w:val="21"/>
                          </w:rPr>
                          <w:t>Sieć przesyłowa gazowa</w:t>
                        </w:r>
                      </w:hyperlink>
                    </w:p>
                    <w:p w14:paraId="55C9FBB8" w14:textId="77777777" w:rsidR="007247FC" w:rsidRPr="008D3A4B" w:rsidRDefault="006341C5" w:rsidP="007247FC">
                      <w:pPr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0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39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  <w:szCs w:val="21"/>
                          </w:rPr>
                          <w:t>Sieć rozdzielcza gazowa</w:t>
                        </w:r>
                      </w:hyperlink>
                    </w:p>
                    <w:p w14:paraId="40CAB396" w14:textId="77777777" w:rsidR="007247FC" w:rsidRPr="008D3A4B" w:rsidRDefault="006341C5" w:rsidP="007247FC">
                      <w:pPr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0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40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  <w:szCs w:val="21"/>
                          </w:rPr>
                          <w:t>Przyłącze do sieci gazowej</w:t>
                        </w:r>
                      </w:hyperlink>
                    </w:p>
                    <w:p w14:paraId="3B585C75" w14:textId="77777777" w:rsidR="007247FC" w:rsidRPr="008D3A4B" w:rsidRDefault="006341C5" w:rsidP="007247FC">
                      <w:pPr>
                        <w:spacing w:before="0" w:after="0" w:line="240" w:lineRule="auto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41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  <w:szCs w:val="21"/>
                          </w:rPr>
                          <w:t>Odbiorca gazu</w:t>
                        </w:r>
                      </w:hyperlink>
                    </w:p>
                    <w:p w14:paraId="47DFBB9C" w14:textId="77777777" w:rsidR="007247FC" w:rsidRPr="008D3A4B" w:rsidRDefault="006341C5" w:rsidP="007247FC">
                      <w:pPr>
                        <w:spacing w:before="0" w:after="0" w:line="240" w:lineRule="auto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42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  <w:szCs w:val="21"/>
                          </w:rPr>
                          <w:t>Zużycie gazu w gospodarstwach domowych</w:t>
                        </w:r>
                      </w:hyperlink>
                    </w:p>
                    <w:p w14:paraId="6D2D37F8" w14:textId="77777777" w:rsidR="007247FC" w:rsidRPr="008D3A4B" w:rsidRDefault="006341C5" w:rsidP="007247FC">
                      <w:pPr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0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43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</w:rPr>
                          <w:t>Sieć cieplna rozdzielcza</w:t>
                        </w:r>
                      </w:hyperlink>
                    </w:p>
                    <w:p w14:paraId="7AC91F4C" w14:textId="77777777" w:rsidR="007247FC" w:rsidRPr="008D3A4B" w:rsidRDefault="006341C5" w:rsidP="007247FC">
                      <w:pPr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0"/>
                        <w:rPr>
                          <w:rFonts w:cs="Arial"/>
                          <w:color w:val="222222"/>
                          <w:sz w:val="18"/>
                          <w:szCs w:val="21"/>
                        </w:rPr>
                      </w:pPr>
                      <w:hyperlink r:id="rId44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</w:rPr>
                          <w:t>Sieć cieplna przesyłowa</w:t>
                        </w:r>
                      </w:hyperlink>
                    </w:p>
                    <w:p w14:paraId="10C2B0B5" w14:textId="77777777" w:rsidR="007247FC" w:rsidRPr="008D3A4B" w:rsidRDefault="006341C5" w:rsidP="007247FC">
                      <w:pPr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0"/>
                        <w:rPr>
                          <w:rFonts w:ascii="Arial" w:hAnsi="Arial" w:cs="Arial"/>
                          <w:color w:val="222222"/>
                          <w:sz w:val="20"/>
                          <w:szCs w:val="21"/>
                        </w:rPr>
                      </w:pPr>
                      <w:hyperlink r:id="rId45" w:history="1">
                        <w:r w:rsidR="007247FC" w:rsidRPr="008D3A4B">
                          <w:rPr>
                            <w:rStyle w:val="Hipercze"/>
                            <w:rFonts w:cs="Arial"/>
                            <w:sz w:val="18"/>
                          </w:rPr>
                          <w:t>Zużycie energii</w:t>
                        </w:r>
                      </w:hyperlink>
                    </w:p>
                    <w:p w14:paraId="5F690C04" w14:textId="77777777" w:rsidR="00AB6D25" w:rsidRPr="00505A92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6"/>
      <w:footerReference w:type="default" r:id="rId4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27487" w14:textId="77777777" w:rsidR="002E2A1B" w:rsidRDefault="002E2A1B" w:rsidP="000662E2">
      <w:pPr>
        <w:spacing w:after="0" w:line="240" w:lineRule="auto"/>
      </w:pPr>
      <w:r>
        <w:separator/>
      </w:r>
    </w:p>
  </w:endnote>
  <w:endnote w:type="continuationSeparator" w:id="0">
    <w:p w14:paraId="34D96E5F" w14:textId="77777777" w:rsidR="002E2A1B" w:rsidRDefault="002E2A1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5F690BDE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A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5F690BE1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A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F690BE4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A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2FD4" w14:textId="77777777" w:rsidR="002E2A1B" w:rsidRDefault="002E2A1B" w:rsidP="000662E2">
      <w:pPr>
        <w:spacing w:after="0" w:line="240" w:lineRule="auto"/>
      </w:pPr>
      <w:r>
        <w:separator/>
      </w:r>
    </w:p>
  </w:footnote>
  <w:footnote w:type="continuationSeparator" w:id="0">
    <w:p w14:paraId="4B57E9F7" w14:textId="77777777" w:rsidR="002E2A1B" w:rsidRDefault="002E2A1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0BDC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690BE5" wp14:editId="5F690BE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3FFED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F690BDD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0BDF" w14:textId="0F3FB625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690BE7" wp14:editId="5F690BE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690C06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90BE7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F690C06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690BE9" wp14:editId="5F690BE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40C9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997F8C" w:rsidRPr="00F64D62">
      <w:rPr>
        <w:noProof/>
        <w:lang w:eastAsia="pl-PL"/>
      </w:rPr>
      <w:drawing>
        <wp:inline distT="0" distB="0" distL="0" distR="0" wp14:anchorId="232BBEF4" wp14:editId="69233B88">
          <wp:extent cx="2211895" cy="720000"/>
          <wp:effectExtent l="0" t="0" r="0" b="4445"/>
          <wp:docPr id="1" name="Obraz 1" descr="C:\Users\adamczyki\Desktop\Logo GUS jubil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czyki\Desktop\Logo GUS jubil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8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90BE0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690BED" wp14:editId="5F690BEE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90C07" w14:textId="0A856FE7" w:rsidR="00F37172" w:rsidRPr="00C97596" w:rsidRDefault="005A785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90BE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F690C07" w14:textId="0A856FE7" w:rsidR="00F37172" w:rsidRPr="00C97596" w:rsidRDefault="005A785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0BE2" w14:textId="77777777" w:rsidR="00607CC5" w:rsidRDefault="00607CC5">
    <w:pPr>
      <w:pStyle w:val="Nagwek"/>
    </w:pPr>
  </w:p>
  <w:p w14:paraId="5F690BE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pt;height:125.6pt;visibility:visible;mso-wrap-style:square" o:bullet="t">
        <v:imagedata r:id="rId1" o:title=""/>
      </v:shape>
    </w:pict>
  </w:numPicBullet>
  <w:numPicBullet w:numPicBulletId="1">
    <w:pict>
      <v:shape id="_x0000_i1029" type="#_x0000_t75" style="width:123.9pt;height:125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FB68F5"/>
    <w:multiLevelType w:val="multilevel"/>
    <w:tmpl w:val="AA1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483"/>
    <w:rsid w:val="00001C5B"/>
    <w:rsid w:val="00003437"/>
    <w:rsid w:val="00005E13"/>
    <w:rsid w:val="0000709F"/>
    <w:rsid w:val="000108B8"/>
    <w:rsid w:val="000152F5"/>
    <w:rsid w:val="00036AC6"/>
    <w:rsid w:val="0004582E"/>
    <w:rsid w:val="000470AA"/>
    <w:rsid w:val="00057CA1"/>
    <w:rsid w:val="000662E2"/>
    <w:rsid w:val="00066883"/>
    <w:rsid w:val="0007492E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D1DB4"/>
    <w:rsid w:val="002163C4"/>
    <w:rsid w:val="00241DA4"/>
    <w:rsid w:val="002574F9"/>
    <w:rsid w:val="00262B61"/>
    <w:rsid w:val="00276811"/>
    <w:rsid w:val="00282699"/>
    <w:rsid w:val="00285034"/>
    <w:rsid w:val="002926DF"/>
    <w:rsid w:val="00296697"/>
    <w:rsid w:val="002B0472"/>
    <w:rsid w:val="002B6B12"/>
    <w:rsid w:val="002E2A1B"/>
    <w:rsid w:val="002E6140"/>
    <w:rsid w:val="002E6985"/>
    <w:rsid w:val="002E71B6"/>
    <w:rsid w:val="002F77C8"/>
    <w:rsid w:val="00304F22"/>
    <w:rsid w:val="00306C7C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B1454"/>
    <w:rsid w:val="003B18B6"/>
    <w:rsid w:val="003C4231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76F30"/>
    <w:rsid w:val="0049621B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A3618"/>
    <w:rsid w:val="005A698C"/>
    <w:rsid w:val="005A785A"/>
    <w:rsid w:val="005E0799"/>
    <w:rsid w:val="005F5A80"/>
    <w:rsid w:val="006044FF"/>
    <w:rsid w:val="00607CC5"/>
    <w:rsid w:val="00633014"/>
    <w:rsid w:val="006341C5"/>
    <w:rsid w:val="0063437B"/>
    <w:rsid w:val="006673CA"/>
    <w:rsid w:val="00673C26"/>
    <w:rsid w:val="006812AF"/>
    <w:rsid w:val="0068327D"/>
    <w:rsid w:val="00694AF0"/>
    <w:rsid w:val="006A4686"/>
    <w:rsid w:val="006B0E9E"/>
    <w:rsid w:val="006B5AE4"/>
    <w:rsid w:val="006C1F97"/>
    <w:rsid w:val="006D1507"/>
    <w:rsid w:val="006D4054"/>
    <w:rsid w:val="006E02EC"/>
    <w:rsid w:val="007211B1"/>
    <w:rsid w:val="007247FC"/>
    <w:rsid w:val="00746187"/>
    <w:rsid w:val="0076254F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F324B"/>
    <w:rsid w:val="0080553C"/>
    <w:rsid w:val="00805B46"/>
    <w:rsid w:val="00825DC2"/>
    <w:rsid w:val="00830D79"/>
    <w:rsid w:val="00834AD3"/>
    <w:rsid w:val="00843795"/>
    <w:rsid w:val="00847F0F"/>
    <w:rsid w:val="00852448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33EC1"/>
    <w:rsid w:val="009530DB"/>
    <w:rsid w:val="00953676"/>
    <w:rsid w:val="00960930"/>
    <w:rsid w:val="009705EE"/>
    <w:rsid w:val="00977927"/>
    <w:rsid w:val="0098135C"/>
    <w:rsid w:val="0098156A"/>
    <w:rsid w:val="00991BAC"/>
    <w:rsid w:val="00997F8C"/>
    <w:rsid w:val="009A6EA0"/>
    <w:rsid w:val="009C1335"/>
    <w:rsid w:val="009C1AB2"/>
    <w:rsid w:val="009C7251"/>
    <w:rsid w:val="009E2E91"/>
    <w:rsid w:val="00A04AD2"/>
    <w:rsid w:val="00A139F5"/>
    <w:rsid w:val="00A365F4"/>
    <w:rsid w:val="00A47D80"/>
    <w:rsid w:val="00A53132"/>
    <w:rsid w:val="00A563F2"/>
    <w:rsid w:val="00A566E8"/>
    <w:rsid w:val="00A755AB"/>
    <w:rsid w:val="00A810F9"/>
    <w:rsid w:val="00A86ECC"/>
    <w:rsid w:val="00A86FCC"/>
    <w:rsid w:val="00AA710D"/>
    <w:rsid w:val="00AB6D25"/>
    <w:rsid w:val="00AE134D"/>
    <w:rsid w:val="00AE2D4B"/>
    <w:rsid w:val="00AE4F99"/>
    <w:rsid w:val="00B11B69"/>
    <w:rsid w:val="00B14952"/>
    <w:rsid w:val="00B31E5A"/>
    <w:rsid w:val="00B54E0A"/>
    <w:rsid w:val="00B653AB"/>
    <w:rsid w:val="00B65F9E"/>
    <w:rsid w:val="00B66B19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A7D39"/>
    <w:rsid w:val="00DB147A"/>
    <w:rsid w:val="00DB1B7A"/>
    <w:rsid w:val="00DC6708"/>
    <w:rsid w:val="00DD47C5"/>
    <w:rsid w:val="00E01436"/>
    <w:rsid w:val="00E045BD"/>
    <w:rsid w:val="00E17B77"/>
    <w:rsid w:val="00E23337"/>
    <w:rsid w:val="00E259EA"/>
    <w:rsid w:val="00E32061"/>
    <w:rsid w:val="00E42FF9"/>
    <w:rsid w:val="00E4714C"/>
    <w:rsid w:val="00E51AEB"/>
    <w:rsid w:val="00E522A7"/>
    <w:rsid w:val="00E54452"/>
    <w:rsid w:val="00E664C5"/>
    <w:rsid w:val="00E671A2"/>
    <w:rsid w:val="00E76D26"/>
    <w:rsid w:val="00EB1390"/>
    <w:rsid w:val="00EB2C71"/>
    <w:rsid w:val="00EB4340"/>
    <w:rsid w:val="00EB556D"/>
    <w:rsid w:val="00EB5A7D"/>
    <w:rsid w:val="00ED55C0"/>
    <w:rsid w:val="00ED682B"/>
    <w:rsid w:val="00EE41D5"/>
    <w:rsid w:val="00F037A4"/>
    <w:rsid w:val="00F27C8F"/>
    <w:rsid w:val="00F32749"/>
    <w:rsid w:val="00F37172"/>
    <w:rsid w:val="00F4477E"/>
    <w:rsid w:val="00F67D8F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0B25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24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infrastruktura-komunalna-nieruchomosci/nieruchomosci-budynki-infrastruktura-komunalna/infrastruktura-komunalna-w-2016-r-,3,14.html" TargetMode="External"/><Relationship Id="rId39" Type="http://schemas.openxmlformats.org/officeDocument/2006/relationships/hyperlink" Target="http://stat.gov.pl/metainformacje/slownik-pojec/pojecia-stosowane-w-statystyce-publicznej/83,pojecie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metainformacje/slownik-pojec/pojecia-stosowane-w-statystyce-publicznej/457,pojecie.html" TargetMode="External"/><Relationship Id="rId42" Type="http://schemas.openxmlformats.org/officeDocument/2006/relationships/hyperlink" Target="http://stat.gov.pl/metainformacje/slownik-pojec/pojecia-stosowane-w-statystyce-publicznej/673,pojecie.html" TargetMode="Externa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stat.gov.pl/metainformacje/slownik-pojec/pojecia-stosowane-w-statystyce-publicznej/83,pojecie.html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673,pojecie.html" TargetMode="External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://stat.gov.pl/metainformacje/slownik-pojec/pojecia-stosowane-w-statystyce-publicznej/47,pojecie.html" TargetMode="External"/><Relationship Id="rId45" Type="http://schemas.openxmlformats.org/officeDocument/2006/relationships/hyperlink" Target="http://stat.gov.pl/metainformacje/slownik-pojec/pojecia-stosowane-w-statystyce-publicznej/672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4.png"/><Relationship Id="rId28" Type="http://schemas.openxmlformats.org/officeDocument/2006/relationships/hyperlink" Target="http://stat.gov.pl/metainformacje/slownik-pojec/pojecia-stosowane-w-statystyce-publicznej/3307,pojecie.html" TargetMode="External"/><Relationship Id="rId36" Type="http://schemas.openxmlformats.org/officeDocument/2006/relationships/hyperlink" Target="http://stat.gov.pl/obszary-tematyczne/infrastruktura-komunalna-nieruchomosci/nieruchomosci-budynki-infrastruktura-komunalna/infrastruktura-komunalna-w-2016-r-,3,14.htm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3349,pojecie.html" TargetMode="External"/><Relationship Id="rId44" Type="http://schemas.openxmlformats.org/officeDocument/2006/relationships/hyperlink" Target="http://stat.gov.pl/metainformacje/slownik-pojec/pojecia-stosowane-w-statystyce-publicznej/457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://stat.gov.pl/metainformacje/slownik-pojec/pojecia-stosowane-w-statystyce-publicznej/47,pojecie.html" TargetMode="External"/><Relationship Id="rId35" Type="http://schemas.openxmlformats.org/officeDocument/2006/relationships/hyperlink" Target="http://stat.gov.pl/metainformacje/slownik-pojec/pojecia-stosowane-w-statystyce-publicznej/672,pojecie.html" TargetMode="External"/><Relationship Id="rId43" Type="http://schemas.openxmlformats.org/officeDocument/2006/relationships/hyperlink" Target="http://stat.gov.pl/metainformacje/slownik-pojec/pojecia-stosowane-w-statystyce-publicznej/458,pojecie.htm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footer" Target="foot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458,pojecie.html" TargetMode="External"/><Relationship Id="rId38" Type="http://schemas.openxmlformats.org/officeDocument/2006/relationships/hyperlink" Target="http://stat.gov.pl/metainformacje/slownik-pojec/pojecia-stosowane-w-statystyce-publicznej/3307,pojecie.html" TargetMode="External"/><Relationship Id="rId46" Type="http://schemas.openxmlformats.org/officeDocument/2006/relationships/header" Target="header3.xml"/><Relationship Id="rId20" Type="http://schemas.openxmlformats.org/officeDocument/2006/relationships/hyperlink" Target="mailto:m.sobczyk@stat.gov.pl" TargetMode="External"/><Relationship Id="rId41" Type="http://schemas.openxmlformats.org/officeDocument/2006/relationships/hyperlink" Target="http://stat.gov.pl/metainformacje/slownik-pojec/pojecia-stosowane-w-statystyce-publicznej/334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15543131458009"/>
          <c:y val="2.8430224780777624E-2"/>
          <c:w val="0.66260964591321991"/>
          <c:h val="0.72584872031504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001D77">
                <a:alpha val="3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General</c:formatCode>
                <c:ptCount val="16"/>
                <c:pt idx="0">
                  <c:v>1927.5</c:v>
                </c:pt>
                <c:pt idx="1">
                  <c:v>1145.9000000000001</c:v>
                </c:pt>
                <c:pt idx="2">
                  <c:v>1378.1</c:v>
                </c:pt>
                <c:pt idx="3">
                  <c:v>1826.2</c:v>
                </c:pt>
                <c:pt idx="4">
                  <c:v>981.5</c:v>
                </c:pt>
                <c:pt idx="5">
                  <c:v>1924.8</c:v>
                </c:pt>
                <c:pt idx="6">
                  <c:v>2092.9</c:v>
                </c:pt>
                <c:pt idx="7">
                  <c:v>1384.8</c:v>
                </c:pt>
                <c:pt idx="8">
                  <c:v>1806.7</c:v>
                </c:pt>
                <c:pt idx="9">
                  <c:v>702.6</c:v>
                </c:pt>
                <c:pt idx="10">
                  <c:v>1418</c:v>
                </c:pt>
                <c:pt idx="11">
                  <c:v>1271.4000000000001</c:v>
                </c:pt>
                <c:pt idx="12">
                  <c:v>1291.5</c:v>
                </c:pt>
                <c:pt idx="13">
                  <c:v>1080.7</c:v>
                </c:pt>
                <c:pt idx="14">
                  <c:v>1810.5</c:v>
                </c:pt>
                <c:pt idx="15">
                  <c:v>1680.7</c:v>
                </c:pt>
              </c:numCache>
            </c:numRef>
          </c:val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001D77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General</c:formatCode>
                <c:ptCount val="16"/>
                <c:pt idx="0">
                  <c:v>741.2</c:v>
                </c:pt>
                <c:pt idx="1">
                  <c:v>155.80000000000001</c:v>
                </c:pt>
                <c:pt idx="2">
                  <c:v>457.9</c:v>
                </c:pt>
                <c:pt idx="3">
                  <c:v>470.4</c:v>
                </c:pt>
                <c:pt idx="4">
                  <c:v>264.7</c:v>
                </c:pt>
                <c:pt idx="5">
                  <c:v>1083.4000000000001</c:v>
                </c:pt>
                <c:pt idx="6">
                  <c:v>1296.4000000000001</c:v>
                </c:pt>
                <c:pt idx="7">
                  <c:v>132.80000000000001</c:v>
                </c:pt>
                <c:pt idx="8">
                  <c:v>926.1</c:v>
                </c:pt>
                <c:pt idx="9">
                  <c:v>207.1</c:v>
                </c:pt>
                <c:pt idx="10">
                  <c:v>429.7</c:v>
                </c:pt>
                <c:pt idx="11">
                  <c:v>795.5</c:v>
                </c:pt>
                <c:pt idx="12">
                  <c:v>273.7</c:v>
                </c:pt>
                <c:pt idx="13">
                  <c:v>173.1</c:v>
                </c:pt>
                <c:pt idx="14">
                  <c:v>913.2</c:v>
                </c:pt>
                <c:pt idx="15">
                  <c:v>914.1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4880048"/>
        <c:axId val="244882224"/>
      </c:barChart>
      <c:catAx>
        <c:axId val="24488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44882224"/>
        <c:crossesAt val="0"/>
        <c:auto val="1"/>
        <c:lblAlgn val="ctr"/>
        <c:lblOffset val="100"/>
        <c:noMultiLvlLbl val="0"/>
      </c:catAx>
      <c:valAx>
        <c:axId val="244882224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1"/>
              <a:lstStyle/>
              <a:p>
                <a:pPr>
                  <a:defRPr/>
                </a:pPr>
                <a:r>
                  <a:rPr lang="pl-PL" b="0"/>
                  <a:t>kWh</a:t>
                </a:r>
                <a:endParaRPr lang="en-GB" b="0"/>
              </a:p>
            </c:rich>
          </c:tx>
          <c:layout>
            <c:manualLayout>
              <c:xMode val="edge"/>
              <c:yMode val="edge"/>
              <c:x val="0.14218345383406999"/>
              <c:y val="1.4809794345326942E-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4880048"/>
        <c:crosses val="autoZero"/>
        <c:crossBetween val="between"/>
        <c:majorUnit val="200"/>
      </c:valAx>
      <c:spPr>
        <a:noFill/>
        <a:ln w="25400">
          <a:noFill/>
        </a:ln>
        <a:effectLst/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15543131458009"/>
          <c:y val="2.8430224780777624E-2"/>
          <c:w val="0.66260964591321991"/>
          <c:h val="0.72584872031504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001D77">
                <a:alpha val="3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General</c:formatCode>
                <c:ptCount val="16"/>
                <c:pt idx="0">
                  <c:v>748.8</c:v>
                </c:pt>
                <c:pt idx="1">
                  <c:v>666.8</c:v>
                </c:pt>
                <c:pt idx="2">
                  <c:v>646.20000000000005</c:v>
                </c:pt>
                <c:pt idx="3">
                  <c:v>702.6</c:v>
                </c:pt>
                <c:pt idx="4">
                  <c:v>769.3</c:v>
                </c:pt>
                <c:pt idx="5">
                  <c:v>868.7</c:v>
                </c:pt>
                <c:pt idx="6">
                  <c:v>857.1</c:v>
                </c:pt>
                <c:pt idx="7">
                  <c:v>748.3</c:v>
                </c:pt>
                <c:pt idx="8">
                  <c:v>601.4</c:v>
                </c:pt>
                <c:pt idx="9">
                  <c:v>626.6</c:v>
                </c:pt>
                <c:pt idx="10">
                  <c:v>715.7</c:v>
                </c:pt>
                <c:pt idx="11">
                  <c:v>767.5</c:v>
                </c:pt>
                <c:pt idx="12">
                  <c:v>620.9</c:v>
                </c:pt>
                <c:pt idx="13">
                  <c:v>627.29999999999995</c:v>
                </c:pt>
                <c:pt idx="14">
                  <c:v>729.2</c:v>
                </c:pt>
                <c:pt idx="15">
                  <c:v>679.3</c:v>
                </c:pt>
              </c:numCache>
            </c:numRef>
          </c:val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001D77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General</c:formatCode>
                <c:ptCount val="16"/>
                <c:pt idx="0">
                  <c:v>866.7</c:v>
                </c:pt>
                <c:pt idx="1">
                  <c:v>806.7</c:v>
                </c:pt>
                <c:pt idx="2">
                  <c:v>698.7</c:v>
                </c:pt>
                <c:pt idx="3">
                  <c:v>787.7</c:v>
                </c:pt>
                <c:pt idx="4">
                  <c:v>852.6</c:v>
                </c:pt>
                <c:pt idx="5">
                  <c:v>764</c:v>
                </c:pt>
                <c:pt idx="6">
                  <c:v>897.4</c:v>
                </c:pt>
                <c:pt idx="7">
                  <c:v>894.8</c:v>
                </c:pt>
                <c:pt idx="8">
                  <c:v>563.79999999999995</c:v>
                </c:pt>
                <c:pt idx="9">
                  <c:v>979</c:v>
                </c:pt>
                <c:pt idx="10">
                  <c:v>777.2</c:v>
                </c:pt>
                <c:pt idx="11">
                  <c:v>876.5</c:v>
                </c:pt>
                <c:pt idx="12">
                  <c:v>620</c:v>
                </c:pt>
                <c:pt idx="13">
                  <c:v>790</c:v>
                </c:pt>
                <c:pt idx="14">
                  <c:v>817.9</c:v>
                </c:pt>
                <c:pt idx="15">
                  <c:v>712.9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4880592"/>
        <c:axId val="244881680"/>
      </c:barChart>
      <c:catAx>
        <c:axId val="24488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44881680"/>
        <c:crossesAt val="0"/>
        <c:auto val="1"/>
        <c:lblAlgn val="ctr"/>
        <c:lblOffset val="100"/>
        <c:noMultiLvlLbl val="0"/>
      </c:catAx>
      <c:valAx>
        <c:axId val="244881680"/>
        <c:scaling>
          <c:orientation val="minMax"/>
          <c:max val="1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pl-PL" b="0"/>
                  <a:t>kWh</a:t>
                </a:r>
                <a:endParaRPr lang="en-GB" b="0"/>
              </a:p>
            </c:rich>
          </c:tx>
          <c:layout>
            <c:manualLayout>
              <c:xMode val="edge"/>
              <c:yMode val="edge"/>
              <c:x val="0.13057264682063441"/>
              <c:y val="3.1137506438366695E-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4880592"/>
        <c:crosses val="autoZero"/>
        <c:crossBetween val="between"/>
        <c:majorUnit val="100"/>
      </c:valAx>
      <c:spPr>
        <a:noFill/>
        <a:ln w="25400">
          <a:noFill/>
        </a:ln>
        <a:effectLst/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Arkusz2!$E$2</c:f>
              <c:strCache>
                <c:ptCount val="1"/>
                <c:pt idx="0">
                  <c:v>Przyłącza do budynków</c:v>
                </c:pt>
              </c:strCache>
            </c:strRef>
          </c:tx>
          <c:spPr>
            <a:solidFill>
              <a:srgbClr val="001D77">
                <a:alpha val="3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Arkusz2!$E$3:$E$18</c:f>
              <c:numCache>
                <c:formatCode>#\ ##0___)</c:formatCode>
                <c:ptCount val="16"/>
                <c:pt idx="0">
                  <c:v>390.4</c:v>
                </c:pt>
                <c:pt idx="1">
                  <c:v>693</c:v>
                </c:pt>
                <c:pt idx="2">
                  <c:v>406.3</c:v>
                </c:pt>
                <c:pt idx="3">
                  <c:v>210</c:v>
                </c:pt>
                <c:pt idx="4">
                  <c:v>1284.3</c:v>
                </c:pt>
                <c:pt idx="5">
                  <c:v>720.7</c:v>
                </c:pt>
                <c:pt idx="6">
                  <c:v>265.2</c:v>
                </c:pt>
                <c:pt idx="7">
                  <c:v>432.2</c:v>
                </c:pt>
                <c:pt idx="8">
                  <c:v>225.2</c:v>
                </c:pt>
                <c:pt idx="9">
                  <c:v>1333.7</c:v>
                </c:pt>
                <c:pt idx="10">
                  <c:v>575</c:v>
                </c:pt>
                <c:pt idx="11">
                  <c:v>649.70000000000005</c:v>
                </c:pt>
                <c:pt idx="12">
                  <c:v>140.30000000000001</c:v>
                </c:pt>
                <c:pt idx="13">
                  <c:v>497.1</c:v>
                </c:pt>
                <c:pt idx="14">
                  <c:v>452.7</c:v>
                </c:pt>
                <c:pt idx="15">
                  <c:v>575.29999999999995</c:v>
                </c:pt>
              </c:numCache>
            </c:numRef>
          </c:val>
        </c:ser>
        <c:ser>
          <c:idx val="1"/>
          <c:order val="1"/>
          <c:tx>
            <c:strRef>
              <c:f>Arkusz2!$F$2</c:f>
              <c:strCache>
                <c:ptCount val="1"/>
                <c:pt idx="0">
                  <c:v>Sieć cieplna przesyłowa</c:v>
                </c:pt>
              </c:strCache>
            </c:strRef>
          </c:tx>
          <c:spPr>
            <a:solidFill>
              <a:srgbClr val="001D77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Arkusz2!$F$3:$F$18</c:f>
              <c:numCache>
                <c:formatCode>#\ ##0___)</c:formatCode>
                <c:ptCount val="16"/>
                <c:pt idx="0">
                  <c:v>679.4</c:v>
                </c:pt>
                <c:pt idx="1">
                  <c:v>1009.1</c:v>
                </c:pt>
                <c:pt idx="2">
                  <c:v>613.4</c:v>
                </c:pt>
                <c:pt idx="3">
                  <c:v>468.5</c:v>
                </c:pt>
                <c:pt idx="4">
                  <c:v>2431</c:v>
                </c:pt>
                <c:pt idx="5">
                  <c:v>1152.8</c:v>
                </c:pt>
                <c:pt idx="6">
                  <c:v>536.79999999999995</c:v>
                </c:pt>
                <c:pt idx="7">
                  <c:v>643.20000000000005</c:v>
                </c:pt>
                <c:pt idx="8">
                  <c:v>416.2</c:v>
                </c:pt>
                <c:pt idx="9">
                  <c:v>2224.6</c:v>
                </c:pt>
                <c:pt idx="10">
                  <c:v>1374.4</c:v>
                </c:pt>
                <c:pt idx="11">
                  <c:v>1449.5</c:v>
                </c:pt>
                <c:pt idx="12">
                  <c:v>360</c:v>
                </c:pt>
                <c:pt idx="13">
                  <c:v>825.5</c:v>
                </c:pt>
                <c:pt idx="14">
                  <c:v>1020.8</c:v>
                </c:pt>
                <c:pt idx="15">
                  <c:v>1175.9000000000001</c:v>
                </c:pt>
              </c:numCache>
            </c:numRef>
          </c:val>
        </c:ser>
        <c:ser>
          <c:idx val="2"/>
          <c:order val="2"/>
          <c:tx>
            <c:strRef>
              <c:f>Arkusz2!$G$2</c:f>
              <c:strCache>
                <c:ptCount val="1"/>
                <c:pt idx="0">
                  <c:v>Sieć cieplna ogółem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Arkusz2!$G$3:$G$18</c:f>
              <c:numCache>
                <c:formatCode>#\ ##0___)</c:formatCode>
                <c:ptCount val="16"/>
                <c:pt idx="0">
                  <c:v>1069.8</c:v>
                </c:pt>
                <c:pt idx="1">
                  <c:v>1702.1</c:v>
                </c:pt>
                <c:pt idx="2">
                  <c:v>1019.7</c:v>
                </c:pt>
                <c:pt idx="3">
                  <c:v>678.5</c:v>
                </c:pt>
                <c:pt idx="4">
                  <c:v>3715.3</c:v>
                </c:pt>
                <c:pt idx="5">
                  <c:v>1873.5</c:v>
                </c:pt>
                <c:pt idx="6">
                  <c:v>802</c:v>
                </c:pt>
                <c:pt idx="7">
                  <c:v>1075.4000000000001</c:v>
                </c:pt>
                <c:pt idx="8">
                  <c:v>641.4</c:v>
                </c:pt>
                <c:pt idx="9">
                  <c:v>3558.3</c:v>
                </c:pt>
                <c:pt idx="10">
                  <c:v>1949.4</c:v>
                </c:pt>
                <c:pt idx="11">
                  <c:v>2099.1999999999998</c:v>
                </c:pt>
                <c:pt idx="12">
                  <c:v>500.3</c:v>
                </c:pt>
                <c:pt idx="13">
                  <c:v>1322.6</c:v>
                </c:pt>
                <c:pt idx="14">
                  <c:v>1473.5</c:v>
                </c:pt>
                <c:pt idx="15">
                  <c:v>1751.2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913280"/>
        <c:axId val="107910560"/>
      </c:barChart>
      <c:catAx>
        <c:axId val="10791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910560"/>
        <c:crosses val="autoZero"/>
        <c:auto val="1"/>
        <c:lblAlgn val="ctr"/>
        <c:lblOffset val="100"/>
        <c:noMultiLvlLbl val="0"/>
      </c:catAx>
      <c:valAx>
        <c:axId val="107910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l-PL" b="0"/>
                  <a:t>km</a:t>
                </a:r>
                <a:endParaRPr lang="en-GB" b="0"/>
              </a:p>
            </c:rich>
          </c:tx>
          <c:layout>
            <c:manualLayout>
              <c:xMode val="edge"/>
              <c:yMode val="edge"/>
              <c:x val="0.91914742069880673"/>
              <c:y val="0.89782170978627673"/>
            </c:manualLayout>
          </c:layout>
          <c:overlay val="0"/>
        </c:title>
        <c:numFmt formatCode="#\ ##0__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91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5860141088312"/>
          <c:y val="0.92873421256616595"/>
          <c:w val="0.82291719111319261"/>
          <c:h val="5.4878101609182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0.82156</cdr:x>
      <cdr:y>0.82857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57775" y="50577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F50B1-719D-4BD2-854B-F6B31885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Gospodarka energetyczna i gazownictwo w 2017 roku</dc:title>
  <dc:subject/>
  <cp:keywords/>
  <dc:description/>
  <cp:revision>2</cp:revision>
  <cp:lastPrinted>2018-09-27T13:54:00Z</cp:lastPrinted>
  <dcterms:created xsi:type="dcterms:W3CDTF">2018-09-28T07:04:00Z</dcterms:created>
  <dcterms:modified xsi:type="dcterms:W3CDTF">2018-09-28T07:04:00Z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