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8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8FBCB" w14:textId="0CCE800C" w:rsidR="0098135C" w:rsidRDefault="007B45B0" w:rsidP="00074DD8">
      <w:pPr>
        <w:pStyle w:val="tytuinformacji"/>
        <w:rPr>
          <w:shd w:val="clear" w:color="auto" w:fill="FFFFFF"/>
        </w:rPr>
      </w:pPr>
      <w:bookmarkStart w:id="0" w:name="_GoBack"/>
      <w:bookmarkEnd w:id="0"/>
      <w:r w:rsidRPr="007B45B0">
        <w:rPr>
          <w:shd w:val="clear" w:color="auto" w:fill="FFFFFF"/>
        </w:rPr>
        <w:t>Nakłady na środki trwałe służące ochronie środowiska i gospodarce wodnej w Polsce w 2017 r.</w:t>
      </w:r>
    </w:p>
    <w:p w14:paraId="5EF8FBCC" w14:textId="786F1040" w:rsidR="00393761" w:rsidRPr="00001C5B" w:rsidRDefault="00393761" w:rsidP="00074DD8">
      <w:pPr>
        <w:pStyle w:val="tytuinformacji"/>
        <w:rPr>
          <w:sz w:val="32"/>
        </w:rPr>
      </w:pPr>
    </w:p>
    <w:p w14:paraId="1CC2F351" w14:textId="74E14D0F" w:rsidR="00FC1EF7" w:rsidRPr="008B2C18" w:rsidRDefault="00003437" w:rsidP="008B2C18">
      <w:pPr>
        <w:pStyle w:val="LID"/>
        <w:jc w:val="both"/>
        <w:rPr>
          <w:b w:val="0"/>
          <w:iCs/>
          <w:shd w:val="clear" w:color="auto" w:fill="FFFFFF"/>
        </w:rPr>
      </w:pPr>
      <w:r w:rsidRPr="00074DD8">
        <mc:AlternateContent>
          <mc:Choice Requires="wps">
            <w:drawing>
              <wp:anchor distT="45720" distB="45720" distL="114300" distR="114300" simplePos="0" relativeHeight="251637760" behindDoc="0" locked="0" layoutInCell="1" allowOverlap="1" wp14:anchorId="5EF8FC6E" wp14:editId="3D271428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76425" cy="1219200"/>
                <wp:effectExtent l="0" t="0" r="952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21920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8FC96" w14:textId="21B64834" w:rsidR="00933EC1" w:rsidRPr="00B66B19" w:rsidRDefault="00B2760A" w:rsidP="00EF579F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1D77"/>
                                <w:sz w:val="22"/>
                              </w:rPr>
                              <w:pict w14:anchorId="5EF8FCAB">
                                <v:shape id="_x0000_i1025" type="#_x0000_t75" style="width:26.25pt;height:26.25pt;visibility:visible;mso-wrap-style:square" o:bullet="t">
                                  <v:imagedata r:id="rId12" o:title=""/>
                                </v:shape>
                              </w:pict>
                            </w:r>
                            <w:r w:rsidR="007801F5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5068A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8</w:t>
                            </w:r>
                            <w:r w:rsidR="00074DD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5068A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3</w:t>
                            </w:r>
                            <w:r w:rsidR="00EF579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5EF8FC97" w14:textId="16F35153" w:rsidR="00933EC1" w:rsidRPr="005068A9" w:rsidRDefault="005321BC" w:rsidP="00EF579F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5068A9">
                              <w:t>Nakład</w:t>
                            </w:r>
                            <w:r w:rsidR="00EF579F" w:rsidRPr="005068A9">
                              <w:t>y</w:t>
                            </w:r>
                            <w:r w:rsidRPr="005068A9">
                              <w:t xml:space="preserve"> na ochron</w:t>
                            </w:r>
                            <w:r w:rsidR="00EF579F" w:rsidRPr="005068A9">
                              <w:t>ę</w:t>
                            </w:r>
                            <w:r w:rsidRPr="005068A9">
                              <w:t xml:space="preserve"> środowiska </w:t>
                            </w:r>
                            <w:r w:rsidR="00B523C0">
                              <w:t>i</w:t>
                            </w:r>
                            <w:r w:rsidRPr="005068A9">
                              <w:t xml:space="preserve"> gospodarkę wodną w stosunku do 2016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8FC6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6.55pt;width:147.75pt;height:96pt;z-index:2516377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VBRJwIAACMEAAAOAAAAZHJzL2Uyb0RvYy54bWysU9tu2zAMfR+wfxD0vviCpEmMOEWXrMOA&#10;bivQ7QMUWY6FSqImKbGzrx8lp2m2vQ3zgyCa5CF5eLS6HbQiR+G8BFPTYpJTIgyHRpp9Tb9/u3+3&#10;oMQHZhqmwIianoSnt+u3b1a9rUQJHahGOIIgxle9rWkXgq2yzPNOaOYnYIVBZwtOs4Cm22eNYz2i&#10;a5WVeX6T9eAa64AL7/HvdnTSdcJvW8HD17b1IhBVU+wtpNOlcxfPbL1i1d4x20l+boP9QxeaSYNF&#10;L1BbFhg5OPkXlJbcgYc2TDjoDNpWcpFmwGmK/I9pnjpmRZoFyfH2QpP/f7D8y/HREdnUtCzmlBim&#10;cUmPoAQJ4tkH6AUpI0m99RXGPlmMDsN7GHDZaWBvH4A/e2Jg0zGzF3fOQd8J1mCTRczMrlJHHB9B&#10;dv1naLAWOwRIQEPrdGQQOSGIjss6XRYkhkB4LLmY30zLGSUcfUVZLFECqQarXtKt8+GjAE3ipaYO&#10;FZDg2fHBh9gOq15CYjUPSjb3UqlkuP1uoxw5sqiWvNjO52f038KUIX1NlzNsJGYZiPlJSFoGVLOS&#10;uqaLPH4xnVWRjg+mSffApBrv2IkyZ34iJSM5YdgNGBhJ20FzQqYcjKrFV4aXDtxPSnpUbE39jwNz&#10;ghL1ySDby2I6jRJPxnQ2L9Fw157dtYcZjlA1DZSM101Iz2Kc6A630srE12sn515RiYnG86uJUr+2&#10;U9Tr217/AgAA//8DAFBLAwQUAAYACAAAACEAVMsfKN0AAAAHAQAADwAAAGRycy9kb3ducmV2Lnht&#10;bEyPQU/DMAyF70j8h8hI3FjaQtEoTScE6gHQEGxcuHmNaSsap2qyrfx7zAlufn7We5/L1ewGdaAp&#10;9J4NpIsEFHHjbc+tgfdtfbEEFSKyxcEzGfimAKvq9KTEwvojv9FhE1slIRwKNNDFOBZah6Yjh2Hh&#10;R2LxPv3kMIqcWm0nPEq4G3SWJNfaYc/S0OFI9x01X5u9M3CVvjTL1/CxZb+us/r5Ad1jeDLm/Gy+&#10;uwUVaY5/x/CLL+hQCdPO79kGNRiQR6JsL1NQ4mY3eQ5qJ0OSp6CrUv/nr34AAAD//wMAUEsBAi0A&#10;FAAGAAgAAAAhALaDOJL+AAAA4QEAABMAAAAAAAAAAAAAAAAAAAAAAFtDb250ZW50X1R5cGVzXS54&#10;bWxQSwECLQAUAAYACAAAACEAOP0h/9YAAACUAQAACwAAAAAAAAAAAAAAAAAvAQAAX3JlbHMvLnJl&#10;bHNQSwECLQAUAAYACAAAACEAGXFQUScCAAAjBAAADgAAAAAAAAAAAAAAAAAuAgAAZHJzL2Uyb0Rv&#10;Yy54bWxQSwECLQAUAAYACAAAACEAVMsfKN0AAAAHAQAADwAAAAAAAAAAAAAAAACBBAAAZHJzL2Rv&#10;d25yZXYueG1sUEsFBgAAAAAEAAQA8wAAAIsFAAAAAA==&#10;" fillcolor="#001d77" stroked="f">
                <v:textbox>
                  <w:txbxContent>
                    <w:p w14:paraId="5EF8FC96" w14:textId="21B64834" w:rsidR="00933EC1" w:rsidRPr="00B66B19" w:rsidRDefault="00DC25E5" w:rsidP="00EF579F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color w:val="001D77"/>
                          <w:sz w:val="22"/>
                        </w:rPr>
                        <w:pict w14:anchorId="5EF8FCAB">
                          <v:shape id="_x0000_i1028" type="#_x0000_t75" style="width:26.5pt;height:26.5pt;visibility:visible;mso-wrap-style:square" o:bullet="t">
                            <v:imagedata r:id="rId13" o:title=""/>
                          </v:shape>
                        </w:pict>
                      </w:r>
                      <w:r w:rsidR="007801F5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5068A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8</w:t>
                      </w:r>
                      <w:r w:rsidR="00074DD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5068A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3</w:t>
                      </w:r>
                      <w:r w:rsidR="00EF579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5EF8FC97" w14:textId="16F35153" w:rsidR="00933EC1" w:rsidRPr="005068A9" w:rsidRDefault="005321BC" w:rsidP="00EF579F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5068A9">
                        <w:t>Nakład</w:t>
                      </w:r>
                      <w:r w:rsidR="00EF579F" w:rsidRPr="005068A9">
                        <w:t>y</w:t>
                      </w:r>
                      <w:r w:rsidRPr="005068A9">
                        <w:t xml:space="preserve"> na ochron</w:t>
                      </w:r>
                      <w:r w:rsidR="00EF579F" w:rsidRPr="005068A9">
                        <w:t>ę</w:t>
                      </w:r>
                      <w:r w:rsidRPr="005068A9">
                        <w:t xml:space="preserve"> środowiska </w:t>
                      </w:r>
                      <w:r w:rsidR="00B523C0">
                        <w:t>i</w:t>
                      </w:r>
                      <w:r w:rsidRPr="005068A9">
                        <w:t xml:space="preserve"> gospodarkę wodną w stosunku do 2016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591B" w:rsidRPr="002F591B">
        <w:t xml:space="preserve">Wielkość nakładów na </w:t>
      </w:r>
      <w:r w:rsidR="002F591B" w:rsidRPr="005068A9">
        <w:t>środki trwałe służące ochronie środowiska w 2017 r. wyniosła ok. 6,8 mld zł (przy 6,5 mld zł w 2016 r.), a nakłady na środki trwałe na gospodarkę wodną osiągnęły poziom ok. 2,1</w:t>
      </w:r>
      <w:r w:rsidR="002F591B" w:rsidRPr="002F591B">
        <w:t xml:space="preserve"> mld zł (1,7 mld zł w</w:t>
      </w:r>
      <w:r w:rsidR="00C5110E">
        <w:t> </w:t>
      </w:r>
      <w:r w:rsidR="002F591B" w:rsidRPr="002F591B">
        <w:t>2016</w:t>
      </w:r>
      <w:r w:rsidR="00CD46CC">
        <w:t> </w:t>
      </w:r>
      <w:r w:rsidR="002F591B" w:rsidRPr="002F591B">
        <w:t>r.). W roku 2017 nakłady na ochronę środowiska i</w:t>
      </w:r>
      <w:r w:rsidR="00CD46CC">
        <w:t> </w:t>
      </w:r>
      <w:r w:rsidR="002F591B" w:rsidRPr="002F591B">
        <w:t xml:space="preserve">gospodarkę wodną stanowiły </w:t>
      </w:r>
      <w:r w:rsidR="002F591B" w:rsidRPr="0089696C">
        <w:t>odpowiednio 0,3</w:t>
      </w:r>
      <w:r w:rsidR="006834E3" w:rsidRPr="0089696C">
        <w:t>4</w:t>
      </w:r>
      <w:r w:rsidR="002F591B" w:rsidRPr="0089696C">
        <w:t>% i</w:t>
      </w:r>
      <w:r w:rsidR="00CD46CC" w:rsidRPr="0089696C">
        <w:t> </w:t>
      </w:r>
      <w:r w:rsidR="002F591B" w:rsidRPr="0089696C">
        <w:t>0,</w:t>
      </w:r>
      <w:r w:rsidR="006834E3" w:rsidRPr="0089696C">
        <w:t>1</w:t>
      </w:r>
      <w:r w:rsidR="004375A8">
        <w:t>0</w:t>
      </w:r>
      <w:r w:rsidR="002F591B" w:rsidRPr="0089696C">
        <w:t>% PKB (odpowiednio 0,35% i 0,09% w 2016 r.).</w:t>
      </w:r>
      <w:r w:rsidR="008B2C18">
        <w:t xml:space="preserve"> </w:t>
      </w:r>
      <w:r w:rsidR="008B2C18">
        <w:br/>
      </w:r>
      <w:r w:rsidR="00FC1EF7" w:rsidRPr="008B2C18">
        <w:rPr>
          <w:b w:val="0"/>
          <w:iCs/>
          <w:shd w:val="clear" w:color="auto" w:fill="FFFFFF"/>
        </w:rPr>
        <w:t>Mimo odnotowanego wzrostu nakładów na ochronę środowiska, utrzymujący się niski ich poziom w relacji do PKB wskazuje na konieczność dalszego inwestowania w ten obszar w celu istotnej poprawy stanu środowiska i zapobieganiu jego degradacji, wynikającej z działalności gospodarczej.</w:t>
      </w:r>
    </w:p>
    <w:p w14:paraId="31503BA5" w14:textId="77777777" w:rsidR="00221859" w:rsidRDefault="00221859" w:rsidP="00C5110E">
      <w:pPr>
        <w:jc w:val="both"/>
        <w:rPr>
          <w:iCs/>
          <w:shd w:val="clear" w:color="auto" w:fill="FFFFFF"/>
        </w:rPr>
      </w:pPr>
    </w:p>
    <w:p w14:paraId="5EF8FBD0" w14:textId="7DF677CD" w:rsidR="0098156A" w:rsidRPr="002A6E57" w:rsidRDefault="002A6E57" w:rsidP="00C5110E">
      <w:pPr>
        <w:jc w:val="both"/>
      </w:pPr>
      <w:r w:rsidRPr="002A6E57">
        <w:rPr>
          <w:iCs/>
          <w:shd w:val="clear" w:color="auto" w:fill="FFFFFF"/>
        </w:rPr>
        <w:t>Podobnie jak w latach poprzednich, głównym inwestorem w nakładach na środki trwałe służące ochronie środowiska są przedsiębiorstwa, kolejnym gminy, następnie jednostki budżetowe. Grupą inwestorów o największym udziale nakładów w obszarze gospodarki wodnej były jednostki budżetowe, następnie przedsiębiorstwa i gminy.</w:t>
      </w:r>
    </w:p>
    <w:p w14:paraId="5EF8FBD1" w14:textId="735EF94B" w:rsidR="00746187" w:rsidRPr="002A6E57" w:rsidRDefault="000F5304" w:rsidP="00E76D26">
      <w:pPr>
        <w:rPr>
          <w:b/>
          <w:spacing w:val="-2"/>
          <w:sz w:val="18"/>
        </w:rPr>
      </w:pPr>
      <w:r w:rsidRPr="00001C5B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35712" behindDoc="1" locked="0" layoutInCell="1" allowOverlap="1" wp14:anchorId="5EF8FC6C" wp14:editId="6BCD5FF5">
                <wp:simplePos x="0" y="0"/>
                <wp:positionH relativeFrom="column">
                  <wp:posOffset>5215255</wp:posOffset>
                </wp:positionH>
                <wp:positionV relativeFrom="paragraph">
                  <wp:posOffset>99695</wp:posOffset>
                </wp:positionV>
                <wp:extent cx="1725295" cy="1042670"/>
                <wp:effectExtent l="0" t="0" r="0" b="5080"/>
                <wp:wrapTight wrapText="bothSides">
                  <wp:wrapPolygon edited="0">
                    <wp:start x="715" y="0"/>
                    <wp:lineTo x="715" y="21311"/>
                    <wp:lineTo x="20749" y="21311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42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8FC95" w14:textId="1D266062" w:rsidR="007A2DC1" w:rsidRPr="006F1A40" w:rsidRDefault="006F1A40" w:rsidP="00074DD8">
                            <w:pPr>
                              <w:pStyle w:val="tekstzboku"/>
                            </w:pPr>
                            <w:r>
                              <w:t>N</w:t>
                            </w:r>
                            <w:r w:rsidRPr="006F1A40">
                              <w:t>akład</w:t>
                            </w:r>
                            <w:r>
                              <w:t>y</w:t>
                            </w:r>
                            <w:r w:rsidRPr="006F1A40">
                              <w:t xml:space="preserve"> na środki trwałe służące ochronie środowiska w 2017 r. wyniosł</w:t>
                            </w:r>
                            <w:r>
                              <w:t>y ok. 6,8 mld zł,</w:t>
                            </w:r>
                            <w:r w:rsidRPr="006F1A40">
                              <w:t xml:space="preserve"> a na gospodarkę wodną ok. 2,1 mld zł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8FC6C" id="_x0000_s1027" type="#_x0000_t202" style="position:absolute;margin-left:410.65pt;margin-top:7.85pt;width:135.85pt;height:82.1pt;z-index:-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5gAEgIAAAAEAAAOAAAAZHJzL2Uyb0RvYy54bWysU11v2yAUfZ+0/4B4X/yhpGmsOFXXrtOk&#10;bqvU7QdgjGNU4DIgsbNfvwtOsmh9q+YHBL7cc+8597C+GbUie+G8BFPTYpZTIgyHVpptTX/+ePhw&#10;TYkPzLRMgRE1PQhPbzbv360HW4kSelCtcARBjK8GW9M+BFtlmee90MzPwAqDwQ6cZgGPbpu1jg2I&#10;rlVW5vlVNoBrrQMuvMe/91OQbhJ+1wkevnedF4GommJvIa0urU1cs82aVVvHbC/5sQ32hi40kwaL&#10;nqHuWWBk5+QrKC25Aw9dmHHQGXSd5CJxQDZF/g+b555ZkbigON6eZfL/D5Z/2z85IlucXUGJYRpn&#10;9ARKkCBefIBBkDJqNFhf4dVni5fD+BFGvJ/4evsI/MUTA3c9M1tx6xwMvWAt9ljEzOwidcLxEaQZ&#10;vkKLtdguQAIaO6ejgCgJQXSc1eE8HzEGwmPJZbkoVwtKOMaKfF5eLdMEM1ad0q3z4bMATeKmpg4N&#10;kODZ/tGH2A6rTldiNQMPUqlkAmXIUNPVolykhIuIlgE9qqSu6XUev8k1keUn06bkwKSa9lhAmSPt&#10;yHTiHMZmnFQ+qdlAe0AdHEyWxCeEmx7cb0oGtGNN/a8dc4IS9cWglqtiPo/+TYf5YlniwV1GmssI&#10;MxyhahoombZ3IXl+onyLmncyqRGHM3VybBltlkQ6Pono48tzuvX34W7+AAAA//8DAFBLAwQUAAYA&#10;CAAAACEAgq2L8N8AAAALAQAADwAAAGRycy9kb3ducmV2LnhtbEyPzU7DMBCE70i8g7VI3Kjdlv4k&#10;xKkqEFdQC63EzY23SdR4HcVuE96e7YnedjSfZmey1eAaccEu1J40jEcKBFLhbU2lhu+v96cliBAN&#10;WdN4Qg2/GGCV399lJrW+pw1etrEUHEIhNRqqGNtUylBU6EwY+RaJvaPvnIksu1LazvQc7ho5UWou&#10;namJP1SmxdcKi9P27DTsPo4/+2f1Wb65Wdv7QUlyidT68WFYv4CIOMR/GK71uTrk3Ongz2SDaDQs&#10;J+Mpo2zMFiCugEqmvO7A1yJJQOaZvN2Q/wEAAP//AwBQSwECLQAUAAYACAAAACEAtoM4kv4AAADh&#10;AQAAEwAAAAAAAAAAAAAAAAAAAAAAW0NvbnRlbnRfVHlwZXNdLnhtbFBLAQItABQABgAIAAAAIQA4&#10;/SH/1gAAAJQBAAALAAAAAAAAAAAAAAAAAC8BAABfcmVscy8ucmVsc1BLAQItABQABgAIAAAAIQAV&#10;55gAEgIAAAAEAAAOAAAAAAAAAAAAAAAAAC4CAABkcnMvZTJvRG9jLnhtbFBLAQItABQABgAIAAAA&#10;IQCCrYvw3wAAAAsBAAAPAAAAAAAAAAAAAAAAAGwEAABkcnMvZG93bnJldi54bWxQSwUGAAAAAAQA&#10;BADzAAAAeAUAAAAA&#10;" filled="f" stroked="f">
                <v:textbox>
                  <w:txbxContent>
                    <w:p w14:paraId="5EF8FC95" w14:textId="1D266062" w:rsidR="007A2DC1" w:rsidRPr="006F1A40" w:rsidRDefault="006F1A40" w:rsidP="00074DD8">
                      <w:pPr>
                        <w:pStyle w:val="tekstzboku"/>
                      </w:pPr>
                      <w:r>
                        <w:t>N</w:t>
                      </w:r>
                      <w:r w:rsidRPr="006F1A40">
                        <w:t>akład</w:t>
                      </w:r>
                      <w:r>
                        <w:t>y</w:t>
                      </w:r>
                      <w:r w:rsidRPr="006F1A40">
                        <w:t xml:space="preserve"> na środki trwałe służące ochronie środowiska w 2017 r. wyniosł</w:t>
                      </w:r>
                      <w:r>
                        <w:t>y ok. 6,8 mld zł,</w:t>
                      </w:r>
                      <w:r w:rsidRPr="006F1A40">
                        <w:t xml:space="preserve"> a na gospodarkę wodną ok. 2,1 mld zł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EF8FBD2" w14:textId="5435EC84" w:rsidR="00116087" w:rsidRPr="00E01201" w:rsidRDefault="00C0676C" w:rsidP="00074DD8">
      <w:pPr>
        <w:pStyle w:val="tytuwykresu"/>
      </w:pPr>
      <w:r>
        <w:rPr>
          <w:noProof/>
          <w:lang w:eastAsia="pl-PL"/>
        </w:rPr>
        <w:drawing>
          <wp:anchor distT="0" distB="0" distL="114300" distR="114300" simplePos="0" relativeHeight="251673600" behindDoc="0" locked="0" layoutInCell="1" allowOverlap="1" wp14:anchorId="6F3B1E5B" wp14:editId="15C80111">
            <wp:simplePos x="0" y="0"/>
            <wp:positionH relativeFrom="column">
              <wp:posOffset>2619293</wp:posOffset>
            </wp:positionH>
            <wp:positionV relativeFrom="paragraph">
              <wp:posOffset>531495</wp:posOffset>
            </wp:positionV>
            <wp:extent cx="2638425" cy="1981200"/>
            <wp:effectExtent l="0" t="0" r="0" b="0"/>
            <wp:wrapTopAndBottom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567">
        <w:rPr>
          <w:noProof/>
          <w:lang w:eastAsia="pl-PL"/>
        </w:rPr>
        <w:drawing>
          <wp:anchor distT="0" distB="0" distL="114300" distR="114300" simplePos="0" relativeHeight="251687936" behindDoc="0" locked="0" layoutInCell="1" allowOverlap="1" wp14:anchorId="3542D601" wp14:editId="6AB45557">
            <wp:simplePos x="0" y="0"/>
            <wp:positionH relativeFrom="margin">
              <wp:align>left</wp:align>
            </wp:positionH>
            <wp:positionV relativeFrom="paragraph">
              <wp:posOffset>545824</wp:posOffset>
            </wp:positionV>
            <wp:extent cx="3400425" cy="2085975"/>
            <wp:effectExtent l="0" t="0" r="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906" w:rsidRPr="00E01201">
        <w:t xml:space="preserve">Wykres </w:t>
      </w:r>
      <w:r w:rsidR="00074DD8" w:rsidRPr="00E01201">
        <w:t>1</w:t>
      </w:r>
      <w:r w:rsidR="008F4441" w:rsidRPr="00E01201">
        <w:t>.</w:t>
      </w:r>
      <w:r w:rsidR="00074DD8" w:rsidRPr="00E01201">
        <w:rPr>
          <w:shd w:val="clear" w:color="auto" w:fill="FFFFFF"/>
        </w:rPr>
        <w:t xml:space="preserve"> </w:t>
      </w:r>
      <w:r w:rsidR="002A6E57" w:rsidRPr="00E01201">
        <w:rPr>
          <w:shd w:val="clear" w:color="auto" w:fill="FFFFFF"/>
        </w:rPr>
        <w:t>Struktura nakładów na środki trwałe służące ochronie środowiska i gospodarce wodnej według grup inwest</w:t>
      </w:r>
      <w:r w:rsidR="00CC1C44">
        <w:rPr>
          <w:shd w:val="clear" w:color="auto" w:fill="FFFFFF"/>
        </w:rPr>
        <w:t>orów</w:t>
      </w:r>
    </w:p>
    <w:p w14:paraId="33EEB06B" w14:textId="608D32B8" w:rsidR="00305899" w:rsidRDefault="00305899" w:rsidP="00C5110E">
      <w:pPr>
        <w:pStyle w:val="Nagwek1"/>
        <w:jc w:val="both"/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</w:pPr>
    </w:p>
    <w:p w14:paraId="47E80EC1" w14:textId="6965F2C5" w:rsidR="00953222" w:rsidRPr="00D64E4C" w:rsidRDefault="00953222" w:rsidP="00E7539D">
      <w:pPr>
        <w:jc w:val="both"/>
        <w:rPr>
          <w:bCs/>
          <w:iCs/>
          <w:shd w:val="clear" w:color="auto" w:fill="FFFFFF"/>
        </w:rPr>
      </w:pPr>
      <w:r w:rsidRPr="00D64E4C">
        <w:rPr>
          <w:iCs/>
          <w:shd w:val="clear" w:color="auto" w:fill="FFFFFF"/>
        </w:rPr>
        <w:t xml:space="preserve">Największe nakłady na środki trwałe na ochronę środowiska poniesiono w województwach: </w:t>
      </w:r>
      <w:r w:rsidRPr="009B7539">
        <w:rPr>
          <w:iCs/>
          <w:shd w:val="clear" w:color="auto" w:fill="FFFFFF"/>
        </w:rPr>
        <w:t>śląskim (</w:t>
      </w:r>
      <w:r w:rsidR="00B523C0">
        <w:rPr>
          <w:iCs/>
          <w:shd w:val="clear" w:color="auto" w:fill="FFFFFF"/>
        </w:rPr>
        <w:t>16,9</w:t>
      </w:r>
      <w:r w:rsidRPr="009B7539">
        <w:rPr>
          <w:iCs/>
          <w:shd w:val="clear" w:color="auto" w:fill="FFFFFF"/>
        </w:rPr>
        <w:t>% ogółu nakładów na środki trwałe służące ochronie środowiska), mazowieckim (1</w:t>
      </w:r>
      <w:r w:rsidR="009B7539" w:rsidRPr="009B7539">
        <w:rPr>
          <w:iCs/>
          <w:shd w:val="clear" w:color="auto" w:fill="FFFFFF"/>
        </w:rPr>
        <w:t>2</w:t>
      </w:r>
      <w:r w:rsidRPr="009B7539">
        <w:rPr>
          <w:iCs/>
          <w:shd w:val="clear" w:color="auto" w:fill="FFFFFF"/>
        </w:rPr>
        <w:t>,</w:t>
      </w:r>
      <w:r w:rsidR="009B7539" w:rsidRPr="009B7539">
        <w:rPr>
          <w:iCs/>
          <w:shd w:val="clear" w:color="auto" w:fill="FFFFFF"/>
        </w:rPr>
        <w:t>2</w:t>
      </w:r>
      <w:r w:rsidRPr="009B7539">
        <w:rPr>
          <w:iCs/>
          <w:shd w:val="clear" w:color="auto" w:fill="FFFFFF"/>
        </w:rPr>
        <w:t>%) oraz zachodniopomorskim (10,2%), natomiast najmniejsze w warmińsko-mazurskim (1,7%), świętokrzyskim (1,8%) oraz lubuskim (2,3%).</w:t>
      </w:r>
    </w:p>
    <w:p w14:paraId="6ACF26BD" w14:textId="4A705386" w:rsidR="00953222" w:rsidRDefault="00953222" w:rsidP="00C5110E">
      <w:pPr>
        <w:jc w:val="both"/>
        <w:rPr>
          <w:iCs/>
          <w:shd w:val="clear" w:color="auto" w:fill="FFFFFF"/>
        </w:rPr>
      </w:pPr>
      <w:r w:rsidRPr="00953222">
        <w:rPr>
          <w:iCs/>
          <w:shd w:val="clear" w:color="auto" w:fill="FFFFFF"/>
        </w:rPr>
        <w:t xml:space="preserve">W </w:t>
      </w:r>
      <w:r w:rsidRPr="009B7539">
        <w:rPr>
          <w:iCs/>
          <w:shd w:val="clear" w:color="auto" w:fill="FFFFFF"/>
        </w:rPr>
        <w:t xml:space="preserve">gospodarce wodnej największe </w:t>
      </w:r>
      <w:r w:rsidRPr="009B7539">
        <w:rPr>
          <w:iCs/>
        </w:rPr>
        <w:t xml:space="preserve">nakłady poniesiono w województwach: </w:t>
      </w:r>
      <w:r w:rsidR="009B7539" w:rsidRPr="009B7539">
        <w:rPr>
          <w:iCs/>
        </w:rPr>
        <w:t>śląskim</w:t>
      </w:r>
      <w:r w:rsidR="0009225A">
        <w:rPr>
          <w:iCs/>
        </w:rPr>
        <w:t xml:space="preserve"> </w:t>
      </w:r>
      <w:r w:rsidRPr="009B7539">
        <w:rPr>
          <w:iCs/>
        </w:rPr>
        <w:t>(23,</w:t>
      </w:r>
      <w:r w:rsidR="009B7539" w:rsidRPr="009B7539">
        <w:rPr>
          <w:iCs/>
        </w:rPr>
        <w:t>5</w:t>
      </w:r>
      <w:r w:rsidRPr="009B7539">
        <w:rPr>
          <w:iCs/>
        </w:rPr>
        <w:t xml:space="preserve">% ogółu nakładów), </w:t>
      </w:r>
      <w:r w:rsidR="009B7539" w:rsidRPr="009B7539">
        <w:rPr>
          <w:iCs/>
        </w:rPr>
        <w:t>dolnośląskim</w:t>
      </w:r>
      <w:r w:rsidRPr="009B7539">
        <w:rPr>
          <w:iCs/>
        </w:rPr>
        <w:t xml:space="preserve"> (2</w:t>
      </w:r>
      <w:r w:rsidR="009B7539" w:rsidRPr="009B7539">
        <w:rPr>
          <w:iCs/>
        </w:rPr>
        <w:t>0,8</w:t>
      </w:r>
      <w:r w:rsidRPr="009B7539">
        <w:rPr>
          <w:iCs/>
        </w:rPr>
        <w:t xml:space="preserve">%) i </w:t>
      </w:r>
      <w:r w:rsidR="009B7539" w:rsidRPr="009B7539">
        <w:rPr>
          <w:iCs/>
        </w:rPr>
        <w:t>mazowieckim</w:t>
      </w:r>
      <w:r w:rsidRPr="009B7539">
        <w:rPr>
          <w:iCs/>
        </w:rPr>
        <w:t xml:space="preserve"> (13,</w:t>
      </w:r>
      <w:r w:rsidR="009B7539" w:rsidRPr="009B7539">
        <w:rPr>
          <w:iCs/>
        </w:rPr>
        <w:t>4</w:t>
      </w:r>
      <w:r w:rsidRPr="009B7539">
        <w:rPr>
          <w:iCs/>
        </w:rPr>
        <w:t>%), natomiast najmniejsze w </w:t>
      </w:r>
      <w:r w:rsidR="009B7539" w:rsidRPr="009B7539">
        <w:rPr>
          <w:iCs/>
        </w:rPr>
        <w:t>warmińsko-mazurskim</w:t>
      </w:r>
      <w:r w:rsidRPr="009B7539">
        <w:rPr>
          <w:iCs/>
        </w:rPr>
        <w:t xml:space="preserve"> (1,5%)</w:t>
      </w:r>
      <w:r w:rsidR="009B7539" w:rsidRPr="009B7539">
        <w:rPr>
          <w:iCs/>
        </w:rPr>
        <w:t xml:space="preserve"> oraz świętokrzyskim</w:t>
      </w:r>
      <w:r w:rsidRPr="009B7539">
        <w:rPr>
          <w:iCs/>
        </w:rPr>
        <w:t xml:space="preserve"> (2</w:t>
      </w:r>
      <w:r w:rsidR="009566D4">
        <w:rPr>
          <w:iCs/>
        </w:rPr>
        <w:t>,0</w:t>
      </w:r>
      <w:r w:rsidRPr="009B7539">
        <w:rPr>
          <w:iCs/>
        </w:rPr>
        <w:t>%)</w:t>
      </w:r>
      <w:r w:rsidR="009B7539" w:rsidRPr="009B7539">
        <w:rPr>
          <w:iCs/>
        </w:rPr>
        <w:t>.</w:t>
      </w:r>
      <w:r w:rsidRPr="00953222">
        <w:rPr>
          <w:iCs/>
          <w:shd w:val="clear" w:color="auto" w:fill="FFFFFF"/>
        </w:rPr>
        <w:t xml:space="preserve"> </w:t>
      </w:r>
    </w:p>
    <w:p w14:paraId="07183D1D" w14:textId="77777777" w:rsidR="009B7539" w:rsidRDefault="009B7539" w:rsidP="00C5110E">
      <w:pPr>
        <w:jc w:val="both"/>
        <w:rPr>
          <w:iCs/>
          <w:shd w:val="clear" w:color="auto" w:fill="FFFFFF"/>
        </w:rPr>
      </w:pPr>
    </w:p>
    <w:p w14:paraId="49E78A1A" w14:textId="77777777" w:rsidR="00FA4A87" w:rsidRDefault="00FA4A87" w:rsidP="00C5110E">
      <w:pPr>
        <w:pStyle w:val="tytuwykresu"/>
        <w:jc w:val="both"/>
        <w:rPr>
          <w:highlight w:val="green"/>
          <w:shd w:val="clear" w:color="auto" w:fill="FFFFFF"/>
        </w:rPr>
      </w:pPr>
    </w:p>
    <w:p w14:paraId="4ED0D7BB" w14:textId="7DAF0744" w:rsidR="00FA4A87" w:rsidRDefault="00FA4A87" w:rsidP="00C5110E">
      <w:pPr>
        <w:pStyle w:val="tytuwykresu"/>
        <w:jc w:val="both"/>
        <w:rPr>
          <w:highlight w:val="green"/>
          <w:shd w:val="clear" w:color="auto" w:fill="FFFFFF"/>
        </w:rPr>
      </w:pPr>
    </w:p>
    <w:p w14:paraId="17FFA505" w14:textId="77777777" w:rsidR="00FA4A87" w:rsidRDefault="00FA4A87" w:rsidP="00C5110E">
      <w:pPr>
        <w:pStyle w:val="tytuwykresu"/>
        <w:jc w:val="both"/>
        <w:rPr>
          <w:highlight w:val="green"/>
          <w:shd w:val="clear" w:color="auto" w:fill="FFFFFF"/>
        </w:rPr>
      </w:pPr>
    </w:p>
    <w:p w14:paraId="2E4DAD76" w14:textId="77777777" w:rsidR="00FA4A87" w:rsidRDefault="00FA4A87" w:rsidP="00C5110E">
      <w:pPr>
        <w:pStyle w:val="tytuwykresu"/>
        <w:jc w:val="both"/>
        <w:rPr>
          <w:highlight w:val="green"/>
          <w:shd w:val="clear" w:color="auto" w:fill="FFFFFF"/>
        </w:rPr>
      </w:pPr>
    </w:p>
    <w:p w14:paraId="26CFB0C2" w14:textId="08054E90" w:rsidR="00FA4A87" w:rsidRDefault="00FA4A87" w:rsidP="00C5110E">
      <w:pPr>
        <w:pStyle w:val="tytuwykresu"/>
        <w:jc w:val="both"/>
        <w:rPr>
          <w:highlight w:val="green"/>
          <w:shd w:val="clear" w:color="auto" w:fill="FFFFFF"/>
        </w:rPr>
      </w:pPr>
    </w:p>
    <w:p w14:paraId="45409BBF" w14:textId="46377E97" w:rsidR="00953222" w:rsidRPr="00953222" w:rsidRDefault="003F13B5" w:rsidP="00C5110E">
      <w:pPr>
        <w:pStyle w:val="tytuwykresu"/>
        <w:jc w:val="both"/>
        <w:rPr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737088" behindDoc="0" locked="0" layoutInCell="1" allowOverlap="1" wp14:anchorId="1F0A5676" wp14:editId="086C4597">
            <wp:simplePos x="0" y="0"/>
            <wp:positionH relativeFrom="column">
              <wp:posOffset>19050</wp:posOffset>
            </wp:positionH>
            <wp:positionV relativeFrom="paragraph">
              <wp:posOffset>473075</wp:posOffset>
            </wp:positionV>
            <wp:extent cx="5078095" cy="2800350"/>
            <wp:effectExtent l="0" t="0" r="0" b="0"/>
            <wp:wrapTopAndBottom/>
            <wp:docPr id="49" name="Wykres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222" w:rsidRPr="009B7539">
        <w:rPr>
          <w:shd w:val="clear" w:color="auto" w:fill="FFFFFF"/>
        </w:rPr>
        <w:t>Wykres</w:t>
      </w:r>
      <w:r w:rsidR="00953222" w:rsidRPr="00953222">
        <w:rPr>
          <w:shd w:val="clear" w:color="auto" w:fill="FFFFFF"/>
        </w:rPr>
        <w:t xml:space="preserve"> </w:t>
      </w:r>
      <w:r w:rsidR="00953222">
        <w:rPr>
          <w:shd w:val="clear" w:color="auto" w:fill="FFFFFF"/>
        </w:rPr>
        <w:t>2</w:t>
      </w:r>
      <w:r w:rsidR="00953222" w:rsidRPr="00953222">
        <w:rPr>
          <w:shd w:val="clear" w:color="auto" w:fill="FFFFFF"/>
        </w:rPr>
        <w:t>. Nakłady na środki trwałe na ochronę środowiska i gospodarkę wodną</w:t>
      </w:r>
      <w:r w:rsidR="00953222">
        <w:rPr>
          <w:shd w:val="clear" w:color="auto" w:fill="FFFFFF"/>
        </w:rPr>
        <w:t xml:space="preserve"> </w:t>
      </w:r>
      <w:r w:rsidR="00953222" w:rsidRPr="00953222">
        <w:rPr>
          <w:shd w:val="clear" w:color="auto" w:fill="FFFFFF"/>
        </w:rPr>
        <w:t>według województw w 2017 r. (ceny bieżące)</w:t>
      </w:r>
    </w:p>
    <w:p w14:paraId="5B2D6115" w14:textId="77777777" w:rsidR="00F944C9" w:rsidRDefault="00F944C9" w:rsidP="00904252">
      <w:pPr>
        <w:pStyle w:val="Nagwek1"/>
        <w:rPr>
          <w:shd w:val="clear" w:color="auto" w:fill="FFFFFF"/>
        </w:rPr>
      </w:pPr>
    </w:p>
    <w:p w14:paraId="2FE76766" w14:textId="27460EA5" w:rsidR="00904252" w:rsidRPr="00904252" w:rsidRDefault="00904252" w:rsidP="00904252">
      <w:pPr>
        <w:pStyle w:val="Nagwek1"/>
        <w:rPr>
          <w:b/>
          <w:iCs/>
          <w:shd w:val="clear" w:color="auto" w:fill="FFFFFF"/>
        </w:rPr>
      </w:pPr>
      <w:r w:rsidRPr="00904252">
        <w:rPr>
          <w:shd w:val="clear" w:color="auto" w:fill="FFFFFF"/>
        </w:rPr>
        <w:t>Nakłady na środki trwałe służące ochronie środowiska</w:t>
      </w:r>
    </w:p>
    <w:p w14:paraId="7C7F142D" w14:textId="37EBAC57" w:rsidR="00F944C9" w:rsidRPr="00F944C9" w:rsidRDefault="00B81A03" w:rsidP="001D19EF">
      <w:pPr>
        <w:pStyle w:val="Nagwek1"/>
        <w:keepNext w:val="0"/>
        <w:jc w:val="both"/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</w:pPr>
      <w:r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Nakłady na </w:t>
      </w:r>
      <w:r w:rsidRPr="00B81A03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środki trwałe służące ochronie środowiska </w:t>
      </w:r>
      <w:r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klasyfikuje</w:t>
      </w:r>
      <w:r w:rsidR="00EC21BF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 się według</w:t>
      </w:r>
      <w:r w:rsidR="00636AB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 </w:t>
      </w:r>
      <w:r w:rsidR="00F944C9" w:rsidRPr="00F944C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9</w:t>
      </w:r>
      <w:r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 </w:t>
      </w:r>
      <w:r w:rsidR="00F944C9" w:rsidRPr="00F944C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dziedzin ochrony środowiska: </w:t>
      </w:r>
      <w:r w:rsidR="00E03567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1.</w:t>
      </w:r>
      <w:r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 </w:t>
      </w:r>
      <w:r w:rsidR="00F944C9" w:rsidRPr="00F944C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ochron</w:t>
      </w:r>
      <w:r w:rsidR="00EC21BF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a</w:t>
      </w:r>
      <w:r w:rsidR="00F944C9" w:rsidRPr="00F944C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 powietrza atmosferycznego i klimatu; </w:t>
      </w:r>
      <w:r w:rsidR="00E03567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2. </w:t>
      </w:r>
      <w:r w:rsidR="00F944C9" w:rsidRPr="00F944C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gospodark</w:t>
      </w:r>
      <w:r w:rsidR="00EC21BF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a</w:t>
      </w:r>
      <w:r w:rsidR="00F944C9" w:rsidRPr="00F944C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 ściekow</w:t>
      </w:r>
      <w:r w:rsidR="00EC21BF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a</w:t>
      </w:r>
      <w:r w:rsidR="00F944C9" w:rsidRPr="00F944C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 i ochron</w:t>
      </w:r>
      <w:r w:rsidR="00EC21BF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a</w:t>
      </w:r>
      <w:r w:rsidR="00F944C9" w:rsidRPr="00F944C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 wód; </w:t>
      </w:r>
      <w:r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3. </w:t>
      </w:r>
      <w:r w:rsidR="00F944C9" w:rsidRPr="00F944C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gospodark</w:t>
      </w:r>
      <w:r w:rsidR="00EC21BF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a</w:t>
      </w:r>
      <w:r w:rsidR="00F944C9" w:rsidRPr="00F944C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 odpadami; </w:t>
      </w:r>
      <w:r w:rsidR="00E03567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4. </w:t>
      </w:r>
      <w:r w:rsidR="00F944C9" w:rsidRPr="00F944C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ochron</w:t>
      </w:r>
      <w:r w:rsidR="00EC21BF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a</w:t>
      </w:r>
      <w:r w:rsidR="00F944C9" w:rsidRPr="00F944C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 i przywrócenie wartości użytkowej gleb</w:t>
      </w:r>
      <w:r w:rsidR="00F944C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 oraz ochron</w:t>
      </w:r>
      <w:r w:rsidR="00EC21BF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a</w:t>
      </w:r>
      <w:r w:rsidR="00F944C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 wód podziemnych i</w:t>
      </w:r>
      <w:r w:rsidR="00AD70F7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 </w:t>
      </w:r>
      <w:r w:rsidR="00F944C9" w:rsidRPr="00F944C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powierzchniowych; </w:t>
      </w:r>
      <w:r w:rsidR="00E03567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5. </w:t>
      </w:r>
      <w:r w:rsidR="00F944C9" w:rsidRPr="00F944C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zmniejszenie</w:t>
      </w:r>
      <w:r w:rsidR="00EC21BF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 hałasu i </w:t>
      </w:r>
      <w:r w:rsidR="00F944C9" w:rsidRPr="00F944C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wibracji; </w:t>
      </w:r>
      <w:r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6. </w:t>
      </w:r>
      <w:r w:rsidR="00F944C9" w:rsidRPr="00F944C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ochro</w:t>
      </w:r>
      <w:r w:rsidR="002C03A1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n</w:t>
      </w:r>
      <w:r w:rsidR="00EC21BF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a</w:t>
      </w:r>
      <w:r w:rsidR="002C03A1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 różnorodności biologicznej i</w:t>
      </w:r>
      <w:r w:rsidR="00EC21BF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 </w:t>
      </w:r>
      <w:r w:rsidR="00F944C9" w:rsidRPr="00F944C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krajobrazu; </w:t>
      </w:r>
      <w:r w:rsidR="00E03567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7. </w:t>
      </w:r>
      <w:r w:rsidR="00F944C9" w:rsidRPr="00F944C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ochron</w:t>
      </w:r>
      <w:r w:rsidR="00EC21BF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a</w:t>
      </w:r>
      <w:r w:rsidR="00F944C9" w:rsidRPr="00F944C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 przed promieniowaniem jonizującym; </w:t>
      </w:r>
      <w:r w:rsidR="00E03567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8. </w:t>
      </w:r>
      <w:r w:rsidR="00F944C9" w:rsidRPr="00F944C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działalność badawczo-rozwojow</w:t>
      </w:r>
      <w:r w:rsidR="008C070A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a</w:t>
      </w:r>
      <w:r w:rsidR="00F944C9" w:rsidRPr="00F944C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 oraz </w:t>
      </w:r>
      <w:r w:rsidR="001D19EF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9. pozostał</w:t>
      </w:r>
      <w:r w:rsidR="00545FA8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a</w:t>
      </w:r>
      <w:r w:rsidR="00EC21BF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 działalność związan</w:t>
      </w:r>
      <w:r w:rsidR="00545FA8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a</w:t>
      </w:r>
      <w:r w:rsidR="00EC21BF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 z </w:t>
      </w:r>
      <w:r w:rsidR="00F944C9" w:rsidRPr="00F944C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ochroną środowiska</w:t>
      </w:r>
      <w:r w:rsidR="0071443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 xml:space="preserve"> (głównie administracja i zarzadzanie środowiskiem, edukacja, szkolenia</w:t>
      </w:r>
      <w:r w:rsidR="001D19EF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)</w:t>
      </w:r>
      <w:r w:rsidR="00714439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lang w:eastAsia="en-US"/>
        </w:rPr>
        <w:t>.</w:t>
      </w:r>
      <w:r w:rsidR="00EC21BF" w:rsidRPr="001D19EF">
        <w:rPr>
          <w:rFonts w:ascii="Fira Sans" w:eastAsiaTheme="minorHAnsi" w:hAnsi="Fira Sans" w:cstheme="minorBidi"/>
          <w:bCs w:val="0"/>
          <w:iCs/>
          <w:color w:val="auto"/>
          <w:szCs w:val="22"/>
          <w:shd w:val="clear" w:color="auto" w:fill="FFFFFF"/>
          <w:vertAlign w:val="superscript"/>
          <w:lang w:eastAsia="en-US"/>
        </w:rPr>
        <w:footnoteReference w:id="1"/>
      </w:r>
    </w:p>
    <w:p w14:paraId="1F591F6C" w14:textId="57D35E01" w:rsidR="00F944C9" w:rsidRDefault="00F944C9" w:rsidP="00F944C9">
      <w:pPr>
        <w:jc w:val="both"/>
        <w:rPr>
          <w:iCs/>
          <w:shd w:val="clear" w:color="auto" w:fill="FFFFFF"/>
        </w:rPr>
      </w:pPr>
      <w:r w:rsidRPr="00BE0088">
        <w:rPr>
          <w:bCs/>
          <w:iCs/>
          <w:noProof/>
          <w:shd w:val="clear" w:color="auto" w:fill="FFFFFF"/>
          <w:lang w:eastAsia="pl-PL"/>
        </w:rPr>
        <mc:AlternateContent>
          <mc:Choice Requires="wps">
            <w:drawing>
              <wp:anchor distT="45720" distB="45720" distL="114300" distR="114300" simplePos="0" relativeHeight="251731968" behindDoc="1" locked="0" layoutInCell="1" allowOverlap="1" wp14:anchorId="5EF8FC74" wp14:editId="18C14303">
                <wp:simplePos x="0" y="0"/>
                <wp:positionH relativeFrom="column">
                  <wp:posOffset>5286375</wp:posOffset>
                </wp:positionH>
                <wp:positionV relativeFrom="paragraph">
                  <wp:posOffset>1021080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8FC9B" w14:textId="1BE246D2" w:rsidR="00F802BE" w:rsidRPr="006A70AF" w:rsidRDefault="006A70AF" w:rsidP="00B42CCA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6A70A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 2017 r. nakłady na środki trwałe służące gospodarce ściekowej i ochronie wód wyniosły 2,7 mld zł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8FC74" id="Pole tekstowe 16" o:spid="_x0000_s1028" type="#_x0000_t202" style="position:absolute;left:0;text-align:left;margin-left:416.25pt;margin-top:80.4pt;width:135.85pt;height:65.5pt;z-index:-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DGqEgIAAAAEAAAOAAAAZHJzL2Uyb0RvYy54bWysU9Fu2yAUfZ+0f0C8L469uE2sOFXXrtOk&#10;bqvU7QMIxjEqcBmQ2NnX94KTzNrepvkBgS/33HvOPaxvBq3IQTgvwdQ0n80pEYZDI82upj++P7xb&#10;UuIDMw1TYERNj8LTm83bN+veVqKADlQjHEEQ46ve1rQLwVZZ5nknNPMzsMJgsAWnWcCj22WNYz2i&#10;a5UV8/lV1oNrrAMuvMe/92OQbhJ+2woevrWtF4GommJvIa0urdu4Zps1q3aO2U7yUxvsH7rQTBos&#10;eoG6Z4GRvZN/QWnJHXhow4yDzqBtJReJA7LJ53+wee6YFYkLiuPtRSb//2D518OTI7LB2V1RYpjG&#10;GT2BEiSIFx+gFwT/o0i99RXefbZ4OwwfYMCERNjbR+Avnhi465jZiVvnoO8Ea7DJPGZmk9QRx0eQ&#10;bf8FGizG9gES0NA6HRVETQii47COlwGJIRAeS14XZbEqKeEYW77Pl2WaYMaqc7Z1PnwSoEnc1NSh&#10;ARI6Ozz6ELth1flKLGbgQSqVTKAM6Wu6KosyJUwiWgb0qJIaa87jN7omkvxompQcmFTjHgsoc2Id&#10;iY6Uw7AdksrFWcwtNEeUwcFoSXxCuOnA/aKkRzvW1P/cMycoUZ8NSrnKF4vo33RYlNcFHtw0sp1G&#10;mOEIVdNAybi9C8nzI+VblLyVSY04m7GTU8tosyTS6UlEH0/P6dbvh7t5BQAA//8DAFBLAwQUAAYA&#10;CAAAACEAsg8GYOAAAAAMAQAADwAAAGRycy9kb3ducmV2LnhtbEyPy07DMBBF90j9B2sqsaN2Qlul&#10;IU5VFbEFUR4SOzeeJhHxOIrdJvw90xUsR/fozrnFdnKduOAQWk8akoUCgVR521Kt4f3t6S4DEaIh&#10;azpPqOEHA2zL2U1hcutHesXLIdaCSyjkRkMTY59LGaoGnQkL3yNxdvKDM5HPoZZ2MCOXu06mSq2l&#10;My3xh8b0uG+w+j6cnYaP59PX51K91I9u1Y9+UpLcRmp9O592DyAiTvEPhqs+q0PJTkd/JhtEpyG7&#10;T1eMcrBWvOFKJGqZgjhqSDdJBrIs5P8R5S8AAAD//wMAUEsBAi0AFAAGAAgAAAAhALaDOJL+AAAA&#10;4QEAABMAAAAAAAAAAAAAAAAAAAAAAFtDb250ZW50X1R5cGVzXS54bWxQSwECLQAUAAYACAAAACEA&#10;OP0h/9YAAACUAQAACwAAAAAAAAAAAAAAAAAvAQAAX3JlbHMvLnJlbHNQSwECLQAUAAYACAAAACEA&#10;lkgxqhICAAAABAAADgAAAAAAAAAAAAAAAAAuAgAAZHJzL2Uyb0RvYy54bWxQSwECLQAUAAYACAAA&#10;ACEAsg8GYOAAAAAMAQAADwAAAAAAAAAAAAAAAABsBAAAZHJzL2Rvd25yZXYueG1sUEsFBgAAAAAE&#10;AAQA8wAAAHkFAAAAAA==&#10;" filled="f" stroked="f">
                <v:textbox>
                  <w:txbxContent>
                    <w:p w14:paraId="5EF8FC9B" w14:textId="1BE246D2" w:rsidR="00F802BE" w:rsidRPr="006A70AF" w:rsidRDefault="006A70AF" w:rsidP="00B42CCA">
                      <w:pPr>
                        <w:tabs>
                          <w:tab w:val="left" w:pos="142"/>
                        </w:tabs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6A70A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 2017 r. nakłady na środki trwałe służące gospodarce ściekowej i ochronie wód wyniosły 2,7 mld zł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F944C9">
        <w:rPr>
          <w:iCs/>
          <w:shd w:val="clear" w:color="auto" w:fill="FFFFFF"/>
        </w:rPr>
        <w:t xml:space="preserve">W strukturze nakładów na środki trwałe służące ochronie środowiska w Polsce w 2017 r. dominowały </w:t>
      </w:r>
      <w:r w:rsidRPr="00F944C9">
        <w:rPr>
          <w:b/>
          <w:iCs/>
          <w:shd w:val="clear" w:color="auto" w:fill="FFFFFF"/>
        </w:rPr>
        <w:t>nakłady</w:t>
      </w:r>
      <w:r w:rsidR="00636AB9">
        <w:rPr>
          <w:b/>
          <w:iCs/>
          <w:shd w:val="clear" w:color="auto" w:fill="FFFFFF"/>
        </w:rPr>
        <w:t xml:space="preserve"> na</w:t>
      </w:r>
      <w:r w:rsidRPr="00F944C9">
        <w:rPr>
          <w:b/>
          <w:iCs/>
          <w:shd w:val="clear" w:color="auto" w:fill="FFFFFF"/>
        </w:rPr>
        <w:t xml:space="preserve"> gospodarkę ściekową </w:t>
      </w:r>
      <w:r>
        <w:rPr>
          <w:b/>
          <w:iCs/>
          <w:shd w:val="clear" w:color="auto" w:fill="FFFFFF"/>
        </w:rPr>
        <w:t>i</w:t>
      </w:r>
      <w:r w:rsidRPr="00F944C9">
        <w:rPr>
          <w:b/>
          <w:iCs/>
          <w:shd w:val="clear" w:color="auto" w:fill="FFFFFF"/>
        </w:rPr>
        <w:t xml:space="preserve"> ochronę wód</w:t>
      </w:r>
      <w:r w:rsidRPr="00F944C9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oraz</w:t>
      </w:r>
      <w:r w:rsidRPr="00F944C9">
        <w:rPr>
          <w:iCs/>
          <w:shd w:val="clear" w:color="auto" w:fill="FFFFFF"/>
        </w:rPr>
        <w:t xml:space="preserve"> </w:t>
      </w:r>
      <w:r w:rsidRPr="00F944C9">
        <w:rPr>
          <w:b/>
          <w:iCs/>
          <w:shd w:val="clear" w:color="auto" w:fill="FFFFFF"/>
        </w:rPr>
        <w:t>na ochronę powietrza atmosferycznego i klimatu</w:t>
      </w:r>
      <w:r w:rsidRPr="00F944C9">
        <w:rPr>
          <w:iCs/>
          <w:shd w:val="clear" w:color="auto" w:fill="FFFFFF"/>
        </w:rPr>
        <w:t>, z udziałem wynoszącym odpowiednio  39,8% i 33,9%. Pozostałe 26,3% nakładów to odpowiednio nakłady na gospodarkę odpadami (12,7%), na ochronę różnorodności biologicznej i krajobrazu (2,0%), na zmniejszenie hałasu</w:t>
      </w:r>
      <w:r>
        <w:rPr>
          <w:iCs/>
          <w:shd w:val="clear" w:color="auto" w:fill="FFFFFF"/>
        </w:rPr>
        <w:t xml:space="preserve"> </w:t>
      </w:r>
      <w:r w:rsidRPr="00F944C9">
        <w:rPr>
          <w:iCs/>
          <w:shd w:val="clear" w:color="auto" w:fill="FFFFFF"/>
        </w:rPr>
        <w:t xml:space="preserve">i wibracji </w:t>
      </w:r>
      <w:r>
        <w:rPr>
          <w:iCs/>
          <w:shd w:val="clear" w:color="auto" w:fill="FFFFFF"/>
        </w:rPr>
        <w:t>(1,0%),</w:t>
      </w:r>
      <w:r w:rsidRPr="00F944C9">
        <w:rPr>
          <w:iCs/>
          <w:shd w:val="clear" w:color="auto" w:fill="FFFFFF"/>
        </w:rPr>
        <w:t xml:space="preserve"> na ochronę gleb i wód podziemnych i powierzchniowych (0,7%)</w:t>
      </w:r>
      <w:r>
        <w:rPr>
          <w:iCs/>
          <w:shd w:val="clear" w:color="auto" w:fill="FFFFFF"/>
        </w:rPr>
        <w:t xml:space="preserve">, na </w:t>
      </w:r>
      <w:r w:rsidRPr="00F944C9">
        <w:rPr>
          <w:iCs/>
          <w:shd w:val="clear" w:color="auto" w:fill="FFFFFF"/>
        </w:rPr>
        <w:t>działalność badawczo-rozwojową</w:t>
      </w:r>
      <w:r>
        <w:rPr>
          <w:iCs/>
          <w:shd w:val="clear" w:color="auto" w:fill="FFFFFF"/>
        </w:rPr>
        <w:t xml:space="preserve"> (0,3%)</w:t>
      </w:r>
      <w:r w:rsidRPr="00F944C9">
        <w:rPr>
          <w:iCs/>
          <w:shd w:val="clear" w:color="auto" w:fill="FFFFFF"/>
        </w:rPr>
        <w:t xml:space="preserve"> i pozostałą działalność związaną z ochroną środowiska (9,6%).</w:t>
      </w:r>
    </w:p>
    <w:p w14:paraId="75EC0BE2" w14:textId="0452FC32" w:rsidR="0067726D" w:rsidRDefault="0067726D" w:rsidP="00C5110E">
      <w:pPr>
        <w:jc w:val="both"/>
        <w:rPr>
          <w:iCs/>
          <w:shd w:val="clear" w:color="auto" w:fill="FFFFFF"/>
        </w:rPr>
      </w:pPr>
      <w:r w:rsidRPr="00BE0088">
        <w:rPr>
          <w:iCs/>
          <w:shd w:val="clear" w:color="auto" w:fill="FFFFFF"/>
        </w:rPr>
        <w:t xml:space="preserve">W 2017 r. nakłady na środki trwałe służące </w:t>
      </w:r>
      <w:r w:rsidRPr="00BE0088">
        <w:rPr>
          <w:b/>
          <w:iCs/>
          <w:shd w:val="clear" w:color="auto" w:fill="FFFFFF"/>
        </w:rPr>
        <w:t>gospodarce ściekowej i ochronie wód</w:t>
      </w:r>
      <w:r w:rsidRPr="00BE0088">
        <w:rPr>
          <w:iCs/>
          <w:shd w:val="clear" w:color="auto" w:fill="FFFFFF"/>
        </w:rPr>
        <w:t xml:space="preserve"> wyniosły </w:t>
      </w:r>
      <w:r w:rsidRPr="00BE0088">
        <w:rPr>
          <w:b/>
          <w:iCs/>
          <w:shd w:val="clear" w:color="auto" w:fill="FFFFFF"/>
        </w:rPr>
        <w:t>2,7 mld zł</w:t>
      </w:r>
      <w:r w:rsidRPr="00BE0088">
        <w:rPr>
          <w:iCs/>
          <w:shd w:val="clear" w:color="auto" w:fill="FFFFFF"/>
        </w:rPr>
        <w:t>.</w:t>
      </w:r>
      <w:r w:rsidRPr="0067726D">
        <w:rPr>
          <w:iCs/>
          <w:shd w:val="clear" w:color="auto" w:fill="FFFFFF"/>
        </w:rPr>
        <w:t xml:space="preserve"> Największe </w:t>
      </w:r>
      <w:r w:rsidRPr="000E129F">
        <w:rPr>
          <w:iCs/>
          <w:shd w:val="clear" w:color="auto" w:fill="FFFFFF"/>
        </w:rPr>
        <w:t>nakłady na ten cel poniesiono w województwach: mazowieckim (1</w:t>
      </w:r>
      <w:r w:rsidR="0058514B" w:rsidRPr="000E129F">
        <w:rPr>
          <w:iCs/>
          <w:shd w:val="clear" w:color="auto" w:fill="FFFFFF"/>
        </w:rPr>
        <w:t>6</w:t>
      </w:r>
      <w:r w:rsidRPr="000E129F">
        <w:rPr>
          <w:iCs/>
          <w:shd w:val="clear" w:color="auto" w:fill="FFFFFF"/>
        </w:rPr>
        <w:t>,</w:t>
      </w:r>
      <w:r w:rsidR="000E129F" w:rsidRPr="000E129F">
        <w:rPr>
          <w:iCs/>
          <w:shd w:val="clear" w:color="auto" w:fill="FFFFFF"/>
        </w:rPr>
        <w:t>7</w:t>
      </w:r>
      <w:r w:rsidRPr="000E129F">
        <w:rPr>
          <w:iCs/>
          <w:shd w:val="clear" w:color="auto" w:fill="FFFFFF"/>
        </w:rPr>
        <w:t>%), wielkopolskim (1</w:t>
      </w:r>
      <w:r w:rsidR="0058514B" w:rsidRPr="000E129F">
        <w:rPr>
          <w:iCs/>
          <w:shd w:val="clear" w:color="auto" w:fill="FFFFFF"/>
        </w:rPr>
        <w:t>4</w:t>
      </w:r>
      <w:r w:rsidR="004375A8">
        <w:rPr>
          <w:iCs/>
          <w:shd w:val="clear" w:color="auto" w:fill="FFFFFF"/>
        </w:rPr>
        <w:t>,0</w:t>
      </w:r>
      <w:r w:rsidRPr="000E129F">
        <w:rPr>
          <w:iCs/>
          <w:shd w:val="clear" w:color="auto" w:fill="FFFFFF"/>
        </w:rPr>
        <w:t>%) i śląskim (1</w:t>
      </w:r>
      <w:r w:rsidR="0058514B" w:rsidRPr="000E129F">
        <w:rPr>
          <w:iCs/>
          <w:shd w:val="clear" w:color="auto" w:fill="FFFFFF"/>
        </w:rPr>
        <w:t>1</w:t>
      </w:r>
      <w:r w:rsidRPr="000E129F">
        <w:rPr>
          <w:iCs/>
          <w:shd w:val="clear" w:color="auto" w:fill="FFFFFF"/>
        </w:rPr>
        <w:t>,</w:t>
      </w:r>
      <w:r w:rsidR="000E129F" w:rsidRPr="000E129F">
        <w:rPr>
          <w:iCs/>
          <w:shd w:val="clear" w:color="auto" w:fill="FFFFFF"/>
        </w:rPr>
        <w:t>5</w:t>
      </w:r>
      <w:r w:rsidRPr="000E129F">
        <w:rPr>
          <w:iCs/>
          <w:shd w:val="clear" w:color="auto" w:fill="FFFFFF"/>
        </w:rPr>
        <w:t xml:space="preserve">%), najniższe w </w:t>
      </w:r>
      <w:r w:rsidR="00AC195B" w:rsidRPr="000E129F">
        <w:rPr>
          <w:iCs/>
          <w:shd w:val="clear" w:color="auto" w:fill="FFFFFF"/>
        </w:rPr>
        <w:t xml:space="preserve">lubuskim </w:t>
      </w:r>
      <w:r w:rsidRPr="000E129F">
        <w:rPr>
          <w:iCs/>
          <w:shd w:val="clear" w:color="auto" w:fill="FFFFFF"/>
        </w:rPr>
        <w:t>(</w:t>
      </w:r>
      <w:r w:rsidR="0058514B" w:rsidRPr="000E129F">
        <w:rPr>
          <w:iCs/>
          <w:shd w:val="clear" w:color="auto" w:fill="FFFFFF"/>
        </w:rPr>
        <w:t>1</w:t>
      </w:r>
      <w:r w:rsidRPr="000E129F">
        <w:rPr>
          <w:iCs/>
          <w:shd w:val="clear" w:color="auto" w:fill="FFFFFF"/>
        </w:rPr>
        <w:t>,</w:t>
      </w:r>
      <w:r w:rsidR="000E129F" w:rsidRPr="000E129F">
        <w:rPr>
          <w:iCs/>
          <w:shd w:val="clear" w:color="auto" w:fill="FFFFFF"/>
        </w:rPr>
        <w:t>7</w:t>
      </w:r>
      <w:r w:rsidRPr="000E129F">
        <w:rPr>
          <w:iCs/>
          <w:shd w:val="clear" w:color="auto" w:fill="FFFFFF"/>
        </w:rPr>
        <w:t xml:space="preserve">%), </w:t>
      </w:r>
      <w:r w:rsidR="00AC195B" w:rsidRPr="000E129F">
        <w:rPr>
          <w:iCs/>
          <w:shd w:val="clear" w:color="auto" w:fill="FFFFFF"/>
        </w:rPr>
        <w:t>świętokrzyskim</w:t>
      </w:r>
      <w:r w:rsidRPr="000E129F">
        <w:rPr>
          <w:iCs/>
          <w:shd w:val="clear" w:color="auto" w:fill="FFFFFF"/>
        </w:rPr>
        <w:t xml:space="preserve"> (2,</w:t>
      </w:r>
      <w:r w:rsidR="000E129F" w:rsidRPr="000E129F">
        <w:rPr>
          <w:iCs/>
          <w:shd w:val="clear" w:color="auto" w:fill="FFFFFF"/>
        </w:rPr>
        <w:t>2</w:t>
      </w:r>
      <w:r w:rsidRPr="000E129F">
        <w:rPr>
          <w:iCs/>
          <w:shd w:val="clear" w:color="auto" w:fill="FFFFFF"/>
        </w:rPr>
        <w:t xml:space="preserve">%) oraz </w:t>
      </w:r>
      <w:r w:rsidR="00AC195B" w:rsidRPr="000E129F">
        <w:rPr>
          <w:iCs/>
          <w:shd w:val="clear" w:color="auto" w:fill="FFFFFF"/>
        </w:rPr>
        <w:t xml:space="preserve">warmińsko-mazurskim </w:t>
      </w:r>
      <w:r w:rsidRPr="000E129F">
        <w:rPr>
          <w:iCs/>
          <w:shd w:val="clear" w:color="auto" w:fill="FFFFFF"/>
        </w:rPr>
        <w:t>(2,</w:t>
      </w:r>
      <w:r w:rsidR="000E129F" w:rsidRPr="000E129F">
        <w:rPr>
          <w:iCs/>
          <w:shd w:val="clear" w:color="auto" w:fill="FFFFFF"/>
        </w:rPr>
        <w:t>5</w:t>
      </w:r>
      <w:r w:rsidRPr="000E129F">
        <w:rPr>
          <w:iCs/>
          <w:shd w:val="clear" w:color="auto" w:fill="FFFFFF"/>
        </w:rPr>
        <w:t>%).</w:t>
      </w:r>
    </w:p>
    <w:p w14:paraId="50799DBC" w14:textId="340D8E2B" w:rsidR="00517366" w:rsidRDefault="00CC1B57" w:rsidP="00C5110E">
      <w:pPr>
        <w:pStyle w:val="tytuwykresu"/>
        <w:jc w:val="both"/>
        <w:rPr>
          <w:shd w:val="clear" w:color="auto" w:fill="FFFFFF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750400" behindDoc="0" locked="0" layoutInCell="1" allowOverlap="1" wp14:anchorId="07A2618F" wp14:editId="190DB91F">
            <wp:simplePos x="0" y="0"/>
            <wp:positionH relativeFrom="column">
              <wp:posOffset>0</wp:posOffset>
            </wp:positionH>
            <wp:positionV relativeFrom="paragraph">
              <wp:posOffset>387350</wp:posOffset>
            </wp:positionV>
            <wp:extent cx="5122545" cy="3162300"/>
            <wp:effectExtent l="0" t="0" r="0" b="0"/>
            <wp:wrapSquare wrapText="bothSides"/>
            <wp:docPr id="18" name="Wykres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366" w:rsidRPr="00517366">
        <w:rPr>
          <w:shd w:val="clear" w:color="auto" w:fill="FFFFFF"/>
        </w:rPr>
        <w:t xml:space="preserve">Wykres </w:t>
      </w:r>
      <w:r w:rsidR="00676244">
        <w:rPr>
          <w:shd w:val="clear" w:color="auto" w:fill="FFFFFF"/>
        </w:rPr>
        <w:t>3</w:t>
      </w:r>
      <w:r w:rsidR="00517366" w:rsidRPr="00517366">
        <w:rPr>
          <w:shd w:val="clear" w:color="auto" w:fill="FFFFFF"/>
        </w:rPr>
        <w:t xml:space="preserve">. </w:t>
      </w:r>
      <w:r w:rsidR="00517366">
        <w:rPr>
          <w:shd w:val="clear" w:color="auto" w:fill="FFFFFF"/>
        </w:rPr>
        <w:t>N</w:t>
      </w:r>
      <w:r w:rsidR="00517366" w:rsidRPr="00517366">
        <w:rPr>
          <w:shd w:val="clear" w:color="auto" w:fill="FFFFFF"/>
        </w:rPr>
        <w:t>akłady na środki trwałe służące gospodarce ściekowej i ochronie wód</w:t>
      </w:r>
      <w:r w:rsidR="00517366">
        <w:rPr>
          <w:shd w:val="clear" w:color="auto" w:fill="FFFFFF"/>
        </w:rPr>
        <w:t xml:space="preserve"> </w:t>
      </w:r>
      <w:r w:rsidR="00517366" w:rsidRPr="00517366">
        <w:rPr>
          <w:shd w:val="clear" w:color="auto" w:fill="FFFFFF"/>
        </w:rPr>
        <w:t>według  wielkości nakładów i województw w 201</w:t>
      </w:r>
      <w:r w:rsidR="004217F8">
        <w:rPr>
          <w:shd w:val="clear" w:color="auto" w:fill="FFFFFF"/>
        </w:rPr>
        <w:t>7</w:t>
      </w:r>
      <w:r w:rsidR="00517366" w:rsidRPr="00517366">
        <w:rPr>
          <w:shd w:val="clear" w:color="auto" w:fill="FFFFFF"/>
        </w:rPr>
        <w:t xml:space="preserve"> r. (ceny bieżące)</w:t>
      </w:r>
    </w:p>
    <w:p w14:paraId="6882BE6B" w14:textId="0713D33A" w:rsidR="00676244" w:rsidRPr="00676244" w:rsidRDefault="007E77B8" w:rsidP="00676244">
      <w:pPr>
        <w:pStyle w:val="tytuwykresu"/>
        <w:jc w:val="both"/>
        <w:rPr>
          <w:b w:val="0"/>
          <w:shd w:val="clear" w:color="auto" w:fill="FFFFFF"/>
        </w:rPr>
      </w:pPr>
      <w:r w:rsidRPr="006A70AF">
        <w:rPr>
          <w:bCs/>
          <w:iCs/>
          <w:noProof/>
          <w:shd w:val="clear" w:color="auto" w:fill="FFFFFF"/>
          <w:lang w:eastAsia="pl-PL"/>
        </w:rPr>
        <mc:AlternateContent>
          <mc:Choice Requires="wps">
            <w:drawing>
              <wp:anchor distT="45720" distB="45720" distL="114300" distR="114300" simplePos="0" relativeHeight="251747328" behindDoc="1" locked="0" layoutInCell="1" allowOverlap="1" wp14:anchorId="67A7601D" wp14:editId="173B7FCD">
                <wp:simplePos x="0" y="0"/>
                <wp:positionH relativeFrom="column">
                  <wp:posOffset>5295900</wp:posOffset>
                </wp:positionH>
                <wp:positionV relativeFrom="paragraph">
                  <wp:posOffset>3349625</wp:posOffset>
                </wp:positionV>
                <wp:extent cx="1725295" cy="704850"/>
                <wp:effectExtent l="0" t="0" r="0" b="0"/>
                <wp:wrapTight wrapText="bothSides">
                  <wp:wrapPolygon edited="0">
                    <wp:start x="715" y="0"/>
                    <wp:lineTo x="715" y="21016"/>
                    <wp:lineTo x="20749" y="21016"/>
                    <wp:lineTo x="20749" y="0"/>
                    <wp:lineTo x="715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D37AF" w14:textId="542A5D45" w:rsidR="006A70AF" w:rsidRPr="006A70AF" w:rsidRDefault="006A70AF" w:rsidP="00676244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6A70A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 2017 r. nakłady na środki trwałe służące ochronie powietrza atmosferycznego i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 </w:t>
                            </w:r>
                            <w:r w:rsidRPr="006A70A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klimatu wyniosły 2,3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Pr="006A70A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mld zł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7601D" id="Pole tekstowe 6" o:spid="_x0000_s1029" type="#_x0000_t202" style="position:absolute;left:0;text-align:left;margin-left:417pt;margin-top:263.75pt;width:135.85pt;height:55.5pt;z-index:-251569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aFEgIAAP4DAAAOAAAAZHJzL2Uyb0RvYy54bWysU9uO2yAQfa/Uf0C8N3bcOBcrzmq7260q&#10;bduVtv0AgnGMFhgKJHb69TvgJI3at6p+QOBhzsw5c1jfDFqRg3BegqnpdJJTIgyHRppdTX98f3i3&#10;pMQHZhqmwIiaHoWnN5u3b9a9rUQBHahGOIIgxle9rWkXgq2yzPNOaOYnYIXBYAtOs4BHt8sax3pE&#10;1yor8nye9eAa64AL7/Hv/Rikm4TftoKHb23rRSCqpthbSKtL6zau2WbNqp1jtpP81Ab7hy40kwaL&#10;XqDuWWBk7+RfUFpyBx7aMOGgM2hbyUXigGym+R9snjtmReKC4nh7kcn/P1j+9fDkiGxqOqfEMI0j&#10;egIlSBAvPkAvyDxK1Ftf4c1ni3fD8AEGHHWi6+0j8BdPDNx1zOzErXPQd4I12OI0ZmZXqSOOjyDb&#10;/gs0WIvtAySgoXU66oeKEETHUR0v4xFDIDyWXBRlsSop4Rhb5LNlmeaXseqcbZ0PnwRoEjc1dTj+&#10;hM4Ojz7Eblh1vhKLGXiQSiULKEP6mq7KokwJVxEtAzpUSV3TZR6/0TOR5EfTpOTApBr3WECZE+tI&#10;dKQchu2QNH5/FnMLzRFlcDAaEh8Qbjpwvyjp0Yw19T/3zAlK1GeDUq6ms1l0bzrMykWBB3cd2V5H&#10;mOEIVdNAybi9C8nxI+VblLyVSY04m7GTU8tosiTS6UFEF1+f063fz3bzCgAA//8DAFBLAwQUAAYA&#10;CAAAACEAv7CBWeAAAAAMAQAADwAAAGRycy9kb3ducmV2LnhtbEyPS0/DMBCE70j8B2uRuFG7D7ch&#10;ZFMhEFcQ5SFxc+NtEhGvo9htwr/HPcFxNKOZb4rt5DpxoiG0nhHmMwWCuPK25Rrh/e3pJgMRomFr&#10;Os+E8EMBtuXlRWFy60d+pdMu1iKVcMgNQhNjn0sZqoacCTPfEyfv4AdnYpJDLe1gxlTuOrlQai2d&#10;aTktNKanh4aq793RIXw8H74+V+qlfnS6H/2kJLtbiXh9Nd3fgYg0xb8wnPETOpSJae+PbIPoELLl&#10;Kn2JCHqx0SDOibnSGxB7hPUy0yDLQv4/Uf4CAAD//wMAUEsBAi0AFAAGAAgAAAAhALaDOJL+AAAA&#10;4QEAABMAAAAAAAAAAAAAAAAAAAAAAFtDb250ZW50X1R5cGVzXS54bWxQSwECLQAUAAYACAAAACEA&#10;OP0h/9YAAACUAQAACwAAAAAAAAAAAAAAAAAvAQAAX3JlbHMvLnJlbHNQSwECLQAUAAYACAAAACEA&#10;XDmWhRICAAD+AwAADgAAAAAAAAAAAAAAAAAuAgAAZHJzL2Uyb0RvYy54bWxQSwECLQAUAAYACAAA&#10;ACEAv7CBWeAAAAAMAQAADwAAAAAAAAAAAAAAAABsBAAAZHJzL2Rvd25yZXYueG1sUEsFBgAAAAAE&#10;AAQA8wAAAHkFAAAAAA==&#10;" filled="f" stroked="f">
                <v:textbox>
                  <w:txbxContent>
                    <w:p w14:paraId="2D2D37AF" w14:textId="542A5D45" w:rsidR="006A70AF" w:rsidRPr="006A70AF" w:rsidRDefault="006A70AF" w:rsidP="00676244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6A70A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 2017 r. nakłady na środki trwałe służące ochronie powietrza atmosferycznego i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 </w:t>
                      </w:r>
                      <w:r w:rsidRPr="006A70A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klimatu wyniosły 2,3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Pr="006A70A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mld zł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38C163" w14:textId="107E9CFA" w:rsidR="00AB28B7" w:rsidRPr="00676244" w:rsidRDefault="00AB28B7" w:rsidP="00676244">
      <w:pPr>
        <w:pStyle w:val="tytuwykresu"/>
        <w:jc w:val="both"/>
        <w:rPr>
          <w:b w:val="0"/>
          <w:shd w:val="clear" w:color="auto" w:fill="FFFFFF"/>
        </w:rPr>
      </w:pPr>
      <w:r w:rsidRPr="00676244">
        <w:rPr>
          <w:b w:val="0"/>
          <w:shd w:val="clear" w:color="auto" w:fill="FFFFFF"/>
        </w:rPr>
        <w:t xml:space="preserve">Nakłady na środki trwałe służące </w:t>
      </w:r>
      <w:r w:rsidRPr="00676244">
        <w:rPr>
          <w:shd w:val="clear" w:color="auto" w:fill="FFFFFF"/>
        </w:rPr>
        <w:t xml:space="preserve">ochronie powietrza atmosferycznego i klimatu </w:t>
      </w:r>
      <w:r w:rsidRPr="00676244">
        <w:rPr>
          <w:b w:val="0"/>
          <w:shd w:val="clear" w:color="auto" w:fill="FFFFFF"/>
        </w:rPr>
        <w:t xml:space="preserve">wyniosły </w:t>
      </w:r>
      <w:r w:rsidRPr="00676244">
        <w:rPr>
          <w:shd w:val="clear" w:color="auto" w:fill="FFFFFF"/>
        </w:rPr>
        <w:t>2,3</w:t>
      </w:r>
      <w:r w:rsidR="009566D4" w:rsidRPr="00676244">
        <w:rPr>
          <w:shd w:val="clear" w:color="auto" w:fill="FFFFFF"/>
        </w:rPr>
        <w:t> </w:t>
      </w:r>
      <w:r w:rsidRPr="00676244">
        <w:rPr>
          <w:shd w:val="clear" w:color="auto" w:fill="FFFFFF"/>
        </w:rPr>
        <w:t>mld zł.</w:t>
      </w:r>
      <w:r w:rsidRPr="00676244">
        <w:rPr>
          <w:b w:val="0"/>
          <w:shd w:val="clear" w:color="auto" w:fill="FFFFFF"/>
        </w:rPr>
        <w:t xml:space="preserve"> Największe nakłady poniesiono w województwach: śląskim (24,</w:t>
      </w:r>
      <w:r w:rsidR="008A38D4" w:rsidRPr="00676244">
        <w:rPr>
          <w:b w:val="0"/>
          <w:shd w:val="clear" w:color="auto" w:fill="FFFFFF"/>
        </w:rPr>
        <w:t>2</w:t>
      </w:r>
      <w:r w:rsidRPr="00676244">
        <w:rPr>
          <w:b w:val="0"/>
          <w:shd w:val="clear" w:color="auto" w:fill="FFFFFF"/>
        </w:rPr>
        <w:t xml:space="preserve">%), </w:t>
      </w:r>
      <w:r w:rsidR="00FA4A87" w:rsidRPr="00676244">
        <w:rPr>
          <w:b w:val="0"/>
          <w:shd w:val="clear" w:color="auto" w:fill="FFFFFF"/>
        </w:rPr>
        <w:t>zachodniopomorskim</w:t>
      </w:r>
      <w:r w:rsidRPr="00676244">
        <w:rPr>
          <w:b w:val="0"/>
          <w:shd w:val="clear" w:color="auto" w:fill="FFFFFF"/>
        </w:rPr>
        <w:t xml:space="preserve"> (15,</w:t>
      </w:r>
      <w:r w:rsidR="008A38D4" w:rsidRPr="00676244">
        <w:rPr>
          <w:b w:val="0"/>
          <w:shd w:val="clear" w:color="auto" w:fill="FFFFFF"/>
        </w:rPr>
        <w:t>4</w:t>
      </w:r>
      <w:r w:rsidR="000F3988">
        <w:rPr>
          <w:b w:val="0"/>
          <w:shd w:val="clear" w:color="auto" w:fill="FFFFFF"/>
        </w:rPr>
        <w:t>%) i </w:t>
      </w:r>
      <w:r w:rsidR="00FA4A87" w:rsidRPr="00676244">
        <w:rPr>
          <w:b w:val="0"/>
          <w:shd w:val="clear" w:color="auto" w:fill="FFFFFF"/>
        </w:rPr>
        <w:t>pomorskim</w:t>
      </w:r>
      <w:r w:rsidRPr="00676244">
        <w:rPr>
          <w:b w:val="0"/>
          <w:shd w:val="clear" w:color="auto" w:fill="FFFFFF"/>
        </w:rPr>
        <w:t xml:space="preserve"> (1</w:t>
      </w:r>
      <w:r w:rsidR="008A38D4" w:rsidRPr="00676244">
        <w:rPr>
          <w:b w:val="0"/>
          <w:shd w:val="clear" w:color="auto" w:fill="FFFFFF"/>
        </w:rPr>
        <w:t>4</w:t>
      </w:r>
      <w:r w:rsidRPr="00676244">
        <w:rPr>
          <w:b w:val="0"/>
          <w:shd w:val="clear" w:color="auto" w:fill="FFFFFF"/>
        </w:rPr>
        <w:t>,</w:t>
      </w:r>
      <w:r w:rsidR="008A38D4" w:rsidRPr="00676244">
        <w:rPr>
          <w:b w:val="0"/>
          <w:shd w:val="clear" w:color="auto" w:fill="FFFFFF"/>
        </w:rPr>
        <w:t>8</w:t>
      </w:r>
      <w:r w:rsidRPr="00676244">
        <w:rPr>
          <w:b w:val="0"/>
          <w:shd w:val="clear" w:color="auto" w:fill="FFFFFF"/>
        </w:rPr>
        <w:t>%), najmniejsze w podlaskim (0</w:t>
      </w:r>
      <w:r w:rsidR="009C72B5" w:rsidRPr="00676244">
        <w:rPr>
          <w:b w:val="0"/>
          <w:shd w:val="clear" w:color="auto" w:fill="FFFFFF"/>
        </w:rPr>
        <w:t>,5</w:t>
      </w:r>
      <w:r w:rsidRPr="00676244">
        <w:rPr>
          <w:b w:val="0"/>
          <w:shd w:val="clear" w:color="auto" w:fill="FFFFFF"/>
        </w:rPr>
        <w:t>%), lubelskim (</w:t>
      </w:r>
      <w:r w:rsidR="008A38D4" w:rsidRPr="00676244">
        <w:rPr>
          <w:b w:val="0"/>
          <w:shd w:val="clear" w:color="auto" w:fill="FFFFFF"/>
        </w:rPr>
        <w:t>1</w:t>
      </w:r>
      <w:r w:rsidR="004375A8" w:rsidRPr="00676244">
        <w:rPr>
          <w:b w:val="0"/>
          <w:shd w:val="clear" w:color="auto" w:fill="FFFFFF"/>
        </w:rPr>
        <w:t>,0</w:t>
      </w:r>
      <w:r w:rsidRPr="00676244">
        <w:rPr>
          <w:b w:val="0"/>
          <w:shd w:val="clear" w:color="auto" w:fill="FFFFFF"/>
        </w:rPr>
        <w:t>%)</w:t>
      </w:r>
      <w:r w:rsidR="008A38D4" w:rsidRPr="00676244">
        <w:rPr>
          <w:b w:val="0"/>
          <w:shd w:val="clear" w:color="auto" w:fill="FFFFFF"/>
        </w:rPr>
        <w:t>,</w:t>
      </w:r>
      <w:r w:rsidRPr="00676244">
        <w:rPr>
          <w:b w:val="0"/>
          <w:shd w:val="clear" w:color="auto" w:fill="FFFFFF"/>
        </w:rPr>
        <w:t xml:space="preserve"> lubuskim (</w:t>
      </w:r>
      <w:r w:rsidR="008A38D4" w:rsidRPr="00676244">
        <w:rPr>
          <w:b w:val="0"/>
          <w:shd w:val="clear" w:color="auto" w:fill="FFFFFF"/>
        </w:rPr>
        <w:t>1</w:t>
      </w:r>
      <w:r w:rsidRPr="00676244">
        <w:rPr>
          <w:b w:val="0"/>
          <w:shd w:val="clear" w:color="auto" w:fill="FFFFFF"/>
        </w:rPr>
        <w:t>,</w:t>
      </w:r>
      <w:r w:rsidR="008A38D4" w:rsidRPr="00676244">
        <w:rPr>
          <w:b w:val="0"/>
          <w:shd w:val="clear" w:color="auto" w:fill="FFFFFF"/>
        </w:rPr>
        <w:t>1</w:t>
      </w:r>
      <w:r w:rsidRPr="00676244">
        <w:rPr>
          <w:b w:val="0"/>
          <w:shd w:val="clear" w:color="auto" w:fill="FFFFFF"/>
        </w:rPr>
        <w:t>%)</w:t>
      </w:r>
      <w:r w:rsidR="008A38D4" w:rsidRPr="00676244">
        <w:rPr>
          <w:b w:val="0"/>
          <w:shd w:val="clear" w:color="auto" w:fill="FFFFFF"/>
        </w:rPr>
        <w:t xml:space="preserve"> oraz wielkopolskim (1,1%)</w:t>
      </w:r>
      <w:r w:rsidRPr="00676244">
        <w:rPr>
          <w:b w:val="0"/>
          <w:shd w:val="clear" w:color="auto" w:fill="FFFFFF"/>
        </w:rPr>
        <w:t>.</w:t>
      </w:r>
    </w:p>
    <w:p w14:paraId="276ADAD8" w14:textId="5B203F3E" w:rsidR="00AB28B7" w:rsidRDefault="00AB28B7" w:rsidP="00C5110E">
      <w:pPr>
        <w:jc w:val="both"/>
        <w:rPr>
          <w:shd w:val="clear" w:color="auto" w:fill="FFFFFF"/>
        </w:rPr>
      </w:pPr>
      <w:r w:rsidRPr="00AB28B7">
        <w:rPr>
          <w:shd w:val="clear" w:color="auto" w:fill="FFFFFF"/>
        </w:rPr>
        <w:t>Najw</w:t>
      </w:r>
      <w:r w:rsidRPr="00752C8A">
        <w:rPr>
          <w:shd w:val="clear" w:color="auto" w:fill="FFFFFF"/>
        </w:rPr>
        <w:t xml:space="preserve">iększą część nakładów na ochronę powietrza i klimatu stanowiły wydatki na </w:t>
      </w:r>
      <w:r w:rsidRPr="00752C8A">
        <w:rPr>
          <w:b/>
          <w:shd w:val="clear" w:color="auto" w:fill="FFFFFF"/>
        </w:rPr>
        <w:t>urządzenia do redukcji zanieczyszczeń</w:t>
      </w:r>
      <w:r w:rsidRPr="00752C8A">
        <w:rPr>
          <w:shd w:val="clear" w:color="auto" w:fill="FFFFFF"/>
        </w:rPr>
        <w:t xml:space="preserve"> (5</w:t>
      </w:r>
      <w:r w:rsidR="008A38D4" w:rsidRPr="00752C8A">
        <w:rPr>
          <w:shd w:val="clear" w:color="auto" w:fill="FFFFFF"/>
        </w:rPr>
        <w:t>9</w:t>
      </w:r>
      <w:r w:rsidRPr="00752C8A">
        <w:rPr>
          <w:shd w:val="clear" w:color="auto" w:fill="FFFFFF"/>
        </w:rPr>
        <w:t>,</w:t>
      </w:r>
      <w:r w:rsidR="008A38D4" w:rsidRPr="00752C8A">
        <w:rPr>
          <w:shd w:val="clear" w:color="auto" w:fill="FFFFFF"/>
        </w:rPr>
        <w:t>5</w:t>
      </w:r>
      <w:r w:rsidRPr="00752C8A">
        <w:rPr>
          <w:shd w:val="clear" w:color="auto" w:fill="FFFFFF"/>
        </w:rPr>
        <w:t xml:space="preserve">% ogółu wydatków) i </w:t>
      </w:r>
      <w:r w:rsidRPr="00752C8A">
        <w:rPr>
          <w:b/>
          <w:shd w:val="clear" w:color="auto" w:fill="FFFFFF"/>
        </w:rPr>
        <w:t>zapobieganiu zanieczyszczeniom</w:t>
      </w:r>
      <w:r w:rsidRPr="00752C8A">
        <w:rPr>
          <w:shd w:val="clear" w:color="auto" w:fill="FFFFFF"/>
        </w:rPr>
        <w:t xml:space="preserve"> (</w:t>
      </w:r>
      <w:r w:rsidR="00CA1513" w:rsidRPr="00752C8A">
        <w:rPr>
          <w:shd w:val="clear" w:color="auto" w:fill="FFFFFF"/>
        </w:rPr>
        <w:t>39</w:t>
      </w:r>
      <w:r w:rsidRPr="00752C8A">
        <w:rPr>
          <w:shd w:val="clear" w:color="auto" w:fill="FFFFFF"/>
        </w:rPr>
        <w:t>,</w:t>
      </w:r>
      <w:r w:rsidR="00752C8A" w:rsidRPr="00752C8A">
        <w:rPr>
          <w:shd w:val="clear" w:color="auto" w:fill="FFFFFF"/>
        </w:rPr>
        <w:t>6</w:t>
      </w:r>
      <w:r w:rsidRPr="00752C8A">
        <w:rPr>
          <w:shd w:val="clear" w:color="auto" w:fill="FFFFFF"/>
        </w:rPr>
        <w:t xml:space="preserve">%), w tym </w:t>
      </w:r>
      <w:r w:rsidRPr="00752C8A">
        <w:rPr>
          <w:b/>
          <w:shd w:val="clear" w:color="auto" w:fill="FFFFFF"/>
        </w:rPr>
        <w:t>nowe techniki i technologie spalania paliw wraz z modernizacją kotłowni i ciepłowni</w:t>
      </w:r>
      <w:r w:rsidRPr="00752C8A">
        <w:rPr>
          <w:shd w:val="clear" w:color="auto" w:fill="FFFFFF"/>
        </w:rPr>
        <w:t xml:space="preserve"> (</w:t>
      </w:r>
      <w:r w:rsidR="00CA1513" w:rsidRPr="00752C8A">
        <w:rPr>
          <w:shd w:val="clear" w:color="auto" w:fill="FFFFFF"/>
        </w:rPr>
        <w:t>18</w:t>
      </w:r>
      <w:r w:rsidRPr="00752C8A">
        <w:rPr>
          <w:shd w:val="clear" w:color="auto" w:fill="FFFFFF"/>
        </w:rPr>
        <w:t>,</w:t>
      </w:r>
      <w:r w:rsidR="00752C8A" w:rsidRPr="00752C8A">
        <w:rPr>
          <w:shd w:val="clear" w:color="auto" w:fill="FFFFFF"/>
        </w:rPr>
        <w:t>6</w:t>
      </w:r>
      <w:r w:rsidRPr="00752C8A">
        <w:rPr>
          <w:shd w:val="clear" w:color="auto" w:fill="FFFFFF"/>
        </w:rPr>
        <w:t xml:space="preserve">%) oraz na </w:t>
      </w:r>
      <w:r w:rsidRPr="00752C8A">
        <w:rPr>
          <w:b/>
          <w:shd w:val="clear" w:color="auto" w:fill="FFFFFF"/>
        </w:rPr>
        <w:t>niekonwencjonalne źródła energii</w:t>
      </w:r>
      <w:r w:rsidRPr="00752C8A">
        <w:rPr>
          <w:shd w:val="clear" w:color="auto" w:fill="FFFFFF"/>
        </w:rPr>
        <w:t xml:space="preserve"> (</w:t>
      </w:r>
      <w:r w:rsidR="00CA1513" w:rsidRPr="00752C8A">
        <w:rPr>
          <w:shd w:val="clear" w:color="auto" w:fill="FFFFFF"/>
        </w:rPr>
        <w:t>8</w:t>
      </w:r>
      <w:r w:rsidRPr="00752C8A">
        <w:rPr>
          <w:shd w:val="clear" w:color="auto" w:fill="FFFFFF"/>
        </w:rPr>
        <w:t>,</w:t>
      </w:r>
      <w:r w:rsidR="00CA1513" w:rsidRPr="00752C8A">
        <w:rPr>
          <w:shd w:val="clear" w:color="auto" w:fill="FFFFFF"/>
        </w:rPr>
        <w:t>5</w:t>
      </w:r>
      <w:r w:rsidRPr="00752C8A">
        <w:rPr>
          <w:shd w:val="clear" w:color="auto" w:fill="FFFFFF"/>
        </w:rPr>
        <w:t>%). Nakłady z pierwszej grupy były najwyższe w województwach:</w:t>
      </w:r>
      <w:r w:rsidR="00CA1513" w:rsidRPr="00752C8A">
        <w:rPr>
          <w:shd w:val="clear" w:color="auto" w:fill="FFFFFF"/>
        </w:rPr>
        <w:t xml:space="preserve"> śląskim</w:t>
      </w:r>
      <w:r w:rsidRPr="00752C8A">
        <w:rPr>
          <w:shd w:val="clear" w:color="auto" w:fill="FFFFFF"/>
        </w:rPr>
        <w:t xml:space="preserve"> (2</w:t>
      </w:r>
      <w:r w:rsidR="00CA1513" w:rsidRPr="00752C8A">
        <w:rPr>
          <w:shd w:val="clear" w:color="auto" w:fill="FFFFFF"/>
        </w:rPr>
        <w:t>81</w:t>
      </w:r>
      <w:r w:rsidRPr="00752C8A">
        <w:rPr>
          <w:shd w:val="clear" w:color="auto" w:fill="FFFFFF"/>
        </w:rPr>
        <w:t xml:space="preserve"> mln zł) oraz </w:t>
      </w:r>
      <w:r w:rsidR="00CA1513" w:rsidRPr="00752C8A">
        <w:rPr>
          <w:shd w:val="clear" w:color="auto" w:fill="FFFFFF"/>
        </w:rPr>
        <w:t xml:space="preserve">zachodniopomorskim </w:t>
      </w:r>
      <w:r w:rsidRPr="00752C8A">
        <w:rPr>
          <w:shd w:val="clear" w:color="auto" w:fill="FFFFFF"/>
        </w:rPr>
        <w:t>(25</w:t>
      </w:r>
      <w:r w:rsidR="00752C8A" w:rsidRPr="00752C8A">
        <w:rPr>
          <w:shd w:val="clear" w:color="auto" w:fill="FFFFFF"/>
        </w:rPr>
        <w:t>3</w:t>
      </w:r>
      <w:r w:rsidR="00FC1EF7">
        <w:rPr>
          <w:shd w:val="clear" w:color="auto" w:fill="FFFFFF"/>
        </w:rPr>
        <w:t xml:space="preserve"> mln zł), n</w:t>
      </w:r>
      <w:r w:rsidRPr="00752C8A">
        <w:rPr>
          <w:shd w:val="clear" w:color="auto" w:fill="FFFFFF"/>
        </w:rPr>
        <w:t xml:space="preserve">akłady </w:t>
      </w:r>
      <w:r w:rsidR="00636AB9">
        <w:rPr>
          <w:shd w:val="clear" w:color="auto" w:fill="FFFFFF"/>
        </w:rPr>
        <w:t>z drugiej grupy</w:t>
      </w:r>
      <w:r w:rsidR="00FC1EF7">
        <w:rPr>
          <w:shd w:val="clear" w:color="auto" w:fill="FFFFFF"/>
        </w:rPr>
        <w:t xml:space="preserve"> tj. zapobieganiu zanieczyszczeniom w województwach: śląskim (279</w:t>
      </w:r>
      <w:r w:rsidR="001E08BE">
        <w:rPr>
          <w:shd w:val="clear" w:color="auto" w:fill="FFFFFF"/>
        </w:rPr>
        <w:t> </w:t>
      </w:r>
      <w:r w:rsidR="00FC1EF7">
        <w:rPr>
          <w:shd w:val="clear" w:color="auto" w:fill="FFFFFF"/>
        </w:rPr>
        <w:t>mln zł) oraz mazowieckim (109 mln zł).</w:t>
      </w:r>
      <w:r w:rsidR="00636AB9">
        <w:rPr>
          <w:shd w:val="clear" w:color="auto" w:fill="FFFFFF"/>
        </w:rPr>
        <w:t xml:space="preserve"> </w:t>
      </w:r>
      <w:r w:rsidR="00FC1EF7">
        <w:rPr>
          <w:shd w:val="clear" w:color="auto" w:fill="FFFFFF"/>
        </w:rPr>
        <w:t>Ponadto nakłady</w:t>
      </w:r>
      <w:r w:rsidR="00636AB9">
        <w:rPr>
          <w:shd w:val="clear" w:color="auto" w:fill="FFFFFF"/>
        </w:rPr>
        <w:t xml:space="preserve"> </w:t>
      </w:r>
      <w:r w:rsidRPr="00752C8A">
        <w:rPr>
          <w:shd w:val="clear" w:color="auto" w:fill="FFFFFF"/>
        </w:rPr>
        <w:t xml:space="preserve">na </w:t>
      </w:r>
      <w:r w:rsidRPr="00E3796A">
        <w:rPr>
          <w:shd w:val="clear" w:color="auto" w:fill="FFFFFF"/>
        </w:rPr>
        <w:t>nowe techniki i technologie spalania paliw wraz z modernizacją kotłowni i</w:t>
      </w:r>
      <w:r w:rsidR="00D308D3">
        <w:rPr>
          <w:shd w:val="clear" w:color="auto" w:fill="FFFFFF"/>
        </w:rPr>
        <w:t xml:space="preserve"> </w:t>
      </w:r>
      <w:r w:rsidRPr="00E3796A">
        <w:rPr>
          <w:shd w:val="clear" w:color="auto" w:fill="FFFFFF"/>
        </w:rPr>
        <w:t>ciepłowni najwyższe były w województwach: ma</w:t>
      </w:r>
      <w:r w:rsidR="00D416FD" w:rsidRPr="00E3796A">
        <w:rPr>
          <w:shd w:val="clear" w:color="auto" w:fill="FFFFFF"/>
        </w:rPr>
        <w:t>zowiecki</w:t>
      </w:r>
      <w:r w:rsidRPr="00E3796A">
        <w:rPr>
          <w:shd w:val="clear" w:color="auto" w:fill="FFFFFF"/>
        </w:rPr>
        <w:t>m (</w:t>
      </w:r>
      <w:r w:rsidR="00D416FD" w:rsidRPr="00E3796A">
        <w:rPr>
          <w:shd w:val="clear" w:color="auto" w:fill="FFFFFF"/>
        </w:rPr>
        <w:t>94</w:t>
      </w:r>
      <w:r w:rsidR="00636AB9">
        <w:rPr>
          <w:shd w:val="clear" w:color="auto" w:fill="FFFFFF"/>
        </w:rPr>
        <w:t xml:space="preserve"> mln zł) i </w:t>
      </w:r>
      <w:r w:rsidR="00D416FD" w:rsidRPr="00E3796A">
        <w:rPr>
          <w:shd w:val="clear" w:color="auto" w:fill="FFFFFF"/>
        </w:rPr>
        <w:t>zachodniopomorskim</w:t>
      </w:r>
      <w:r w:rsidRPr="00E3796A">
        <w:rPr>
          <w:shd w:val="clear" w:color="auto" w:fill="FFFFFF"/>
        </w:rPr>
        <w:t xml:space="preserve"> (</w:t>
      </w:r>
      <w:r w:rsidR="00D416FD" w:rsidRPr="00E3796A">
        <w:rPr>
          <w:shd w:val="clear" w:color="auto" w:fill="FFFFFF"/>
        </w:rPr>
        <w:t>8</w:t>
      </w:r>
      <w:r w:rsidR="0087282F" w:rsidRPr="00E3796A">
        <w:rPr>
          <w:shd w:val="clear" w:color="auto" w:fill="FFFFFF"/>
        </w:rPr>
        <w:t>2</w:t>
      </w:r>
      <w:r w:rsidRPr="00E3796A">
        <w:rPr>
          <w:shd w:val="clear" w:color="auto" w:fill="FFFFFF"/>
        </w:rPr>
        <w:t xml:space="preserve"> mln zł), natomiast nakłady na niekonwencjonalne źródła energii w województwach: </w:t>
      </w:r>
      <w:r w:rsidR="00D416FD" w:rsidRPr="00E3796A">
        <w:rPr>
          <w:shd w:val="clear" w:color="auto" w:fill="FFFFFF"/>
        </w:rPr>
        <w:t xml:space="preserve">pomorskim </w:t>
      </w:r>
      <w:r w:rsidRPr="00E3796A">
        <w:rPr>
          <w:shd w:val="clear" w:color="auto" w:fill="FFFFFF"/>
        </w:rPr>
        <w:t>(</w:t>
      </w:r>
      <w:r w:rsidR="00D416FD" w:rsidRPr="00E3796A">
        <w:rPr>
          <w:shd w:val="clear" w:color="auto" w:fill="FFFFFF"/>
        </w:rPr>
        <w:t>45</w:t>
      </w:r>
      <w:r w:rsidRPr="00E3796A">
        <w:rPr>
          <w:shd w:val="clear" w:color="auto" w:fill="FFFFFF"/>
        </w:rPr>
        <w:t xml:space="preserve"> mln zł) oraz </w:t>
      </w:r>
      <w:r w:rsidR="00D416FD" w:rsidRPr="00E3796A">
        <w:rPr>
          <w:shd w:val="clear" w:color="auto" w:fill="FFFFFF"/>
        </w:rPr>
        <w:t>śląskim</w:t>
      </w:r>
      <w:r w:rsidRPr="00E3796A">
        <w:rPr>
          <w:shd w:val="clear" w:color="auto" w:fill="FFFFFF"/>
        </w:rPr>
        <w:t xml:space="preserve"> (</w:t>
      </w:r>
      <w:r w:rsidR="00D416FD" w:rsidRPr="00E3796A">
        <w:rPr>
          <w:shd w:val="clear" w:color="auto" w:fill="FFFFFF"/>
        </w:rPr>
        <w:t>4</w:t>
      </w:r>
      <w:r w:rsidR="00FC1EF7">
        <w:rPr>
          <w:shd w:val="clear" w:color="auto" w:fill="FFFFFF"/>
        </w:rPr>
        <w:t>1 </w:t>
      </w:r>
      <w:r w:rsidRPr="00E3796A">
        <w:rPr>
          <w:shd w:val="clear" w:color="auto" w:fill="FFFFFF"/>
        </w:rPr>
        <w:t xml:space="preserve">mln zł). W zakresie </w:t>
      </w:r>
      <w:r w:rsidRPr="00E3796A">
        <w:rPr>
          <w:b/>
          <w:shd w:val="clear" w:color="auto" w:fill="FFFFFF"/>
        </w:rPr>
        <w:t>pozostałych nakładów</w:t>
      </w:r>
      <w:r w:rsidRPr="00E3796A">
        <w:rPr>
          <w:shd w:val="clear" w:color="auto" w:fill="FFFFFF"/>
        </w:rPr>
        <w:t xml:space="preserve"> naj</w:t>
      </w:r>
      <w:r w:rsidR="00FC1EF7">
        <w:rPr>
          <w:shd w:val="clear" w:color="auto" w:fill="FFFFFF"/>
        </w:rPr>
        <w:t>większe inwestycje poniesiono w </w:t>
      </w:r>
      <w:r w:rsidRPr="00E3796A">
        <w:rPr>
          <w:shd w:val="clear" w:color="auto" w:fill="FFFFFF"/>
        </w:rPr>
        <w:t xml:space="preserve">województwie śląskim </w:t>
      </w:r>
      <w:r w:rsidR="000F3988">
        <w:rPr>
          <w:shd w:val="clear" w:color="auto" w:fill="FFFFFF"/>
        </w:rPr>
        <w:t>–</w:t>
      </w:r>
      <w:r w:rsidRPr="00E3796A">
        <w:rPr>
          <w:shd w:val="clear" w:color="auto" w:fill="FFFFFF"/>
        </w:rPr>
        <w:t xml:space="preserve"> na zapobieganie zanieczyszczeniom w</w:t>
      </w:r>
      <w:r w:rsidR="00E15D82">
        <w:rPr>
          <w:shd w:val="clear" w:color="auto" w:fill="FFFFFF"/>
        </w:rPr>
        <w:t> </w:t>
      </w:r>
      <w:r w:rsidR="00FC1EF7">
        <w:rPr>
          <w:shd w:val="clear" w:color="auto" w:fill="FFFFFF"/>
        </w:rPr>
        <w:t>zakresie ochrony klimatu i </w:t>
      </w:r>
      <w:r w:rsidRPr="00E3796A">
        <w:rPr>
          <w:shd w:val="clear" w:color="auto" w:fill="FFFFFF"/>
        </w:rPr>
        <w:t>warstwy ozonowej (</w:t>
      </w:r>
      <w:r w:rsidR="00D416FD" w:rsidRPr="00E3796A">
        <w:rPr>
          <w:shd w:val="clear" w:color="auto" w:fill="FFFFFF"/>
        </w:rPr>
        <w:t>196</w:t>
      </w:r>
      <w:r w:rsidRPr="00E3796A">
        <w:rPr>
          <w:shd w:val="clear" w:color="auto" w:fill="FFFFFF"/>
        </w:rPr>
        <w:t xml:space="preserve"> mln zł).</w:t>
      </w:r>
    </w:p>
    <w:p w14:paraId="23D7FC0B" w14:textId="42416807" w:rsidR="001B29A7" w:rsidRDefault="00FA4A87" w:rsidP="00C5110E">
      <w:pPr>
        <w:pStyle w:val="tytuwykresu"/>
        <w:jc w:val="both"/>
        <w:rPr>
          <w:shd w:val="clear" w:color="auto" w:fill="FFFFFF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741184" behindDoc="0" locked="0" layoutInCell="1" allowOverlap="1" wp14:anchorId="1E85DEE0" wp14:editId="0999D8E3">
            <wp:simplePos x="0" y="0"/>
            <wp:positionH relativeFrom="column">
              <wp:posOffset>47625</wp:posOffset>
            </wp:positionH>
            <wp:positionV relativeFrom="paragraph">
              <wp:posOffset>453390</wp:posOffset>
            </wp:positionV>
            <wp:extent cx="5055870" cy="3228975"/>
            <wp:effectExtent l="0" t="0" r="0" b="0"/>
            <wp:wrapSquare wrapText="bothSides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9A7" w:rsidRPr="001B29A7">
        <w:rPr>
          <w:shd w:val="clear" w:color="auto" w:fill="FFFFFF"/>
        </w:rPr>
        <w:t xml:space="preserve">Wykres </w:t>
      </w:r>
      <w:r w:rsidR="00676244">
        <w:rPr>
          <w:shd w:val="clear" w:color="auto" w:fill="FFFFFF"/>
        </w:rPr>
        <w:t>4</w:t>
      </w:r>
      <w:r w:rsidR="001B29A7" w:rsidRPr="001B29A7">
        <w:rPr>
          <w:shd w:val="clear" w:color="auto" w:fill="FFFFFF"/>
        </w:rPr>
        <w:t>. Nakłady na środki trwałe służące ochronie powietrza i klimatu  według województw w</w:t>
      </w:r>
      <w:r w:rsidR="004375A8">
        <w:rPr>
          <w:shd w:val="clear" w:color="auto" w:fill="FFFFFF"/>
        </w:rPr>
        <w:t> </w:t>
      </w:r>
      <w:r w:rsidR="001B29A7" w:rsidRPr="001B29A7">
        <w:rPr>
          <w:shd w:val="clear" w:color="auto" w:fill="FFFFFF"/>
        </w:rPr>
        <w:t>201</w:t>
      </w:r>
      <w:r w:rsidR="001B29A7">
        <w:rPr>
          <w:shd w:val="clear" w:color="auto" w:fill="FFFFFF"/>
        </w:rPr>
        <w:t>7</w:t>
      </w:r>
      <w:r w:rsidR="004375A8">
        <w:rPr>
          <w:shd w:val="clear" w:color="auto" w:fill="FFFFFF"/>
        </w:rPr>
        <w:t> </w:t>
      </w:r>
      <w:r w:rsidR="001B29A7" w:rsidRPr="001B29A7">
        <w:rPr>
          <w:shd w:val="clear" w:color="auto" w:fill="FFFFFF"/>
        </w:rPr>
        <w:t>r. (ceny bieżące)</w:t>
      </w:r>
    </w:p>
    <w:p w14:paraId="790B721A" w14:textId="109BD11E" w:rsidR="001B29A7" w:rsidRDefault="001B29A7" w:rsidP="00C5110E">
      <w:pPr>
        <w:pStyle w:val="tytuwykresu"/>
        <w:jc w:val="both"/>
        <w:rPr>
          <w:shd w:val="clear" w:color="auto" w:fill="FFFFFF"/>
        </w:rPr>
      </w:pPr>
    </w:p>
    <w:p w14:paraId="6107F40B" w14:textId="79A62BDE" w:rsidR="001B29A7" w:rsidRDefault="001B29A7" w:rsidP="00C5110E">
      <w:pPr>
        <w:jc w:val="both"/>
        <w:rPr>
          <w:shd w:val="clear" w:color="auto" w:fill="FFFFFF"/>
        </w:rPr>
      </w:pPr>
      <w:r w:rsidRPr="00D11956">
        <w:rPr>
          <w:shd w:val="clear" w:color="auto" w:fill="FFFFFF"/>
        </w:rPr>
        <w:t xml:space="preserve">Nakłady na gospodarkę odpadami </w:t>
      </w:r>
      <w:r w:rsidR="00F944C9">
        <w:rPr>
          <w:shd w:val="clear" w:color="auto" w:fill="FFFFFF"/>
        </w:rPr>
        <w:t>wyniosły 0,9 mln zł</w:t>
      </w:r>
      <w:r w:rsidRPr="00D11956">
        <w:rPr>
          <w:shd w:val="clear" w:color="auto" w:fill="FFFFFF"/>
        </w:rPr>
        <w:t xml:space="preserve">, na ochronę różnorodności biologicznej i krajobrazu </w:t>
      </w:r>
      <w:r w:rsidR="00F944C9">
        <w:rPr>
          <w:shd w:val="clear" w:color="auto" w:fill="FFFFFF"/>
        </w:rPr>
        <w:t>0,1 mln zł</w:t>
      </w:r>
      <w:r w:rsidRPr="00D11956">
        <w:rPr>
          <w:shd w:val="clear" w:color="auto" w:fill="FFFFFF"/>
        </w:rPr>
        <w:t xml:space="preserve">, </w:t>
      </w:r>
      <w:r w:rsidR="00D90A76">
        <w:rPr>
          <w:shd w:val="clear" w:color="auto" w:fill="FFFFFF"/>
        </w:rPr>
        <w:t xml:space="preserve">a </w:t>
      </w:r>
      <w:r w:rsidRPr="00D11956">
        <w:rPr>
          <w:shd w:val="clear" w:color="auto" w:fill="FFFFFF"/>
        </w:rPr>
        <w:t>na pozostał</w:t>
      </w:r>
      <w:r w:rsidR="00D90A76">
        <w:rPr>
          <w:shd w:val="clear" w:color="auto" w:fill="FFFFFF"/>
        </w:rPr>
        <w:t>e</w:t>
      </w:r>
      <w:r w:rsidRPr="00D11956">
        <w:rPr>
          <w:shd w:val="clear" w:color="auto" w:fill="FFFFFF"/>
        </w:rPr>
        <w:t xml:space="preserve"> działalnoś</w:t>
      </w:r>
      <w:r w:rsidR="00D90A76">
        <w:rPr>
          <w:shd w:val="clear" w:color="auto" w:fill="FFFFFF"/>
        </w:rPr>
        <w:t>ci</w:t>
      </w:r>
      <w:r w:rsidRPr="00D11956">
        <w:rPr>
          <w:shd w:val="clear" w:color="auto" w:fill="FFFFFF"/>
        </w:rPr>
        <w:t xml:space="preserve"> </w:t>
      </w:r>
      <w:r w:rsidR="00D90A76">
        <w:rPr>
          <w:shd w:val="clear" w:color="auto" w:fill="FFFFFF"/>
        </w:rPr>
        <w:t>wydatkowano łącznie</w:t>
      </w:r>
      <w:r w:rsidR="00714439">
        <w:rPr>
          <w:shd w:val="clear" w:color="auto" w:fill="FFFFFF"/>
        </w:rPr>
        <w:t xml:space="preserve"> </w:t>
      </w:r>
      <w:r w:rsidR="00D90A76">
        <w:rPr>
          <w:shd w:val="clear" w:color="auto" w:fill="FFFFFF"/>
        </w:rPr>
        <w:t>0,8 mln zł.</w:t>
      </w:r>
    </w:p>
    <w:p w14:paraId="45631ABF" w14:textId="5DFB405D" w:rsidR="004F389B" w:rsidRDefault="004F389B" w:rsidP="00C5110E">
      <w:pPr>
        <w:jc w:val="both"/>
        <w:rPr>
          <w:shd w:val="clear" w:color="auto" w:fill="FFFFFF"/>
        </w:rPr>
      </w:pPr>
    </w:p>
    <w:p w14:paraId="0E452573" w14:textId="1359B37B" w:rsidR="004F389B" w:rsidRPr="00953222" w:rsidRDefault="00C21691" w:rsidP="00C5110E">
      <w:pPr>
        <w:pStyle w:val="tytuwykresu"/>
        <w:jc w:val="both"/>
        <w:rPr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742208" behindDoc="0" locked="0" layoutInCell="1" allowOverlap="1" wp14:anchorId="21D3B62B" wp14:editId="402D064D">
            <wp:simplePos x="0" y="0"/>
            <wp:positionH relativeFrom="column">
              <wp:posOffset>0</wp:posOffset>
            </wp:positionH>
            <wp:positionV relativeFrom="paragraph">
              <wp:posOffset>467360</wp:posOffset>
            </wp:positionV>
            <wp:extent cx="5122545" cy="3190875"/>
            <wp:effectExtent l="0" t="0" r="1905" b="0"/>
            <wp:wrapTopAndBottom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V relativeFrom="margin">
              <wp14:pctHeight>0</wp14:pctHeight>
            </wp14:sizeRelV>
          </wp:anchor>
        </w:drawing>
      </w:r>
      <w:r w:rsidR="004F389B" w:rsidRPr="004F389B">
        <w:rPr>
          <w:shd w:val="clear" w:color="auto" w:fill="FFFFFF"/>
        </w:rPr>
        <w:t xml:space="preserve">Wykres </w:t>
      </w:r>
      <w:r w:rsidR="00676244">
        <w:rPr>
          <w:shd w:val="clear" w:color="auto" w:fill="FFFFFF"/>
        </w:rPr>
        <w:t>5</w:t>
      </w:r>
      <w:r w:rsidR="004F389B" w:rsidRPr="004F389B">
        <w:rPr>
          <w:shd w:val="clear" w:color="auto" w:fill="FFFFFF"/>
        </w:rPr>
        <w:t xml:space="preserve">. </w:t>
      </w:r>
      <w:r w:rsidR="004F389B" w:rsidRPr="00393B70">
        <w:rPr>
          <w:shd w:val="clear" w:color="auto" w:fill="FFFFFF"/>
        </w:rPr>
        <w:t>Nakład</w:t>
      </w:r>
      <w:r w:rsidR="004F389B" w:rsidRPr="004F389B">
        <w:rPr>
          <w:shd w:val="clear" w:color="auto" w:fill="FFFFFF"/>
        </w:rPr>
        <w:t>y na środki trwałe służące ochronie środowiska w wybranych dziedzinach</w:t>
      </w:r>
      <w:r w:rsidR="004F389B">
        <w:rPr>
          <w:shd w:val="clear" w:color="auto" w:fill="FFFFFF"/>
        </w:rPr>
        <w:t xml:space="preserve"> </w:t>
      </w:r>
      <w:r w:rsidR="004F389B" w:rsidRPr="004F389B">
        <w:rPr>
          <w:shd w:val="clear" w:color="auto" w:fill="FFFFFF"/>
        </w:rPr>
        <w:t>według województw w 201</w:t>
      </w:r>
      <w:r w:rsidR="004F389B">
        <w:rPr>
          <w:shd w:val="clear" w:color="auto" w:fill="FFFFFF"/>
        </w:rPr>
        <w:t>7</w:t>
      </w:r>
      <w:r w:rsidR="004F389B" w:rsidRPr="004F389B">
        <w:rPr>
          <w:shd w:val="clear" w:color="auto" w:fill="FFFFFF"/>
        </w:rPr>
        <w:t xml:space="preserve"> r. (ceny bieżące)</w:t>
      </w:r>
    </w:p>
    <w:p w14:paraId="555C0B8A" w14:textId="00B7EE52" w:rsidR="004F389B" w:rsidRDefault="004F389B" w:rsidP="00E76D26">
      <w:pPr>
        <w:rPr>
          <w:sz w:val="18"/>
        </w:rPr>
      </w:pPr>
    </w:p>
    <w:p w14:paraId="5C2E55E7" w14:textId="41AD2F03" w:rsidR="004F389B" w:rsidRPr="00A83B95" w:rsidRDefault="004F389B" w:rsidP="00C5110E">
      <w:pPr>
        <w:pStyle w:val="Nagwek1"/>
        <w:jc w:val="both"/>
        <w:rPr>
          <w:iCs/>
        </w:rPr>
      </w:pPr>
      <w:r w:rsidRPr="00A83B95">
        <w:t xml:space="preserve">Nakłady na środki trwałe służące </w:t>
      </w:r>
      <w:r w:rsidR="00A83B95" w:rsidRPr="00A83B95">
        <w:rPr>
          <w:szCs w:val="18"/>
        </w:rPr>
        <w:t>gospodarce wodnej</w:t>
      </w:r>
    </w:p>
    <w:p w14:paraId="0357903A" w14:textId="2EAB8852" w:rsidR="00A83B95" w:rsidRPr="00A83B95" w:rsidRDefault="002C03A1" w:rsidP="00C5110E">
      <w:pPr>
        <w:jc w:val="both"/>
        <w:rPr>
          <w:iCs/>
          <w:sz w:val="18"/>
        </w:rPr>
      </w:pPr>
      <w:r w:rsidRPr="002C03A1">
        <w:rPr>
          <w:iCs/>
          <w:sz w:val="18"/>
        </w:rPr>
        <w:t>Do inwestycji związanych z gospodarką wodną zalicza się ujęcia i doprowadzenia wody (łącznie z</w:t>
      </w:r>
      <w:r>
        <w:rPr>
          <w:iCs/>
          <w:sz w:val="18"/>
        </w:rPr>
        <w:t> </w:t>
      </w:r>
      <w:r w:rsidRPr="002C03A1">
        <w:rPr>
          <w:iCs/>
          <w:sz w:val="18"/>
        </w:rPr>
        <w:t xml:space="preserve">wodną siecią magistralną i rozdzielczą oraz budową laboratoriów kontroli jakości wody, w tym automatycznych stacji pomiaru jakości wody), budowę i modernizację stacji uzdatniania wody, budowę zbiorników wodnych (poza zbiornikami przeciwpożarowymi i wyrównania dobowego), stopni wodnych, żeglugowych i energetycznych oraz śluz i jazów, regulację i zabudowę rzek </w:t>
      </w:r>
      <w:r w:rsidRPr="002C03A1">
        <w:rPr>
          <w:iCs/>
          <w:sz w:val="18"/>
        </w:rPr>
        <w:lastRenderedPageBreak/>
        <w:t>i</w:t>
      </w:r>
      <w:r>
        <w:rPr>
          <w:iCs/>
          <w:sz w:val="18"/>
        </w:rPr>
        <w:t> </w:t>
      </w:r>
      <w:r w:rsidRPr="002C03A1">
        <w:rPr>
          <w:iCs/>
          <w:sz w:val="18"/>
        </w:rPr>
        <w:t>potoków górskich, budowę obwałowań przeciwpowodziowych oraz budowę stacji pomp na zawalach i obszarach depresyjnych.</w:t>
      </w:r>
    </w:p>
    <w:p w14:paraId="5144C268" w14:textId="77F33E8A" w:rsidR="00A83B95" w:rsidRPr="00A83B95" w:rsidRDefault="00A83B95" w:rsidP="00C5110E">
      <w:pPr>
        <w:jc w:val="both"/>
        <w:rPr>
          <w:iCs/>
          <w:sz w:val="18"/>
        </w:rPr>
      </w:pPr>
      <w:r w:rsidRPr="005F685D">
        <w:rPr>
          <w:iCs/>
          <w:sz w:val="18"/>
        </w:rPr>
        <w:t xml:space="preserve">W 2017 r. kwota nakładów służących gospodarce wodnej wyniosła ok. </w:t>
      </w:r>
      <w:r w:rsidRPr="005F685D">
        <w:rPr>
          <w:b/>
          <w:iCs/>
          <w:sz w:val="18"/>
        </w:rPr>
        <w:t>2,1 mld zł</w:t>
      </w:r>
      <w:r w:rsidRPr="005F685D">
        <w:rPr>
          <w:iCs/>
          <w:sz w:val="18"/>
        </w:rPr>
        <w:t>. Główny strumień nakładów skierowany był na budowę infrastruktury zapewniającej wodę pitną. Inwestycje w ujęcia i doprowadzanie wody stanowiły 45,</w:t>
      </w:r>
      <w:r w:rsidR="005F685D" w:rsidRPr="005F685D">
        <w:rPr>
          <w:iCs/>
          <w:sz w:val="18"/>
        </w:rPr>
        <w:t>9</w:t>
      </w:r>
      <w:r w:rsidRPr="005F685D">
        <w:rPr>
          <w:iCs/>
          <w:sz w:val="18"/>
        </w:rPr>
        <w:t>% wszystkich</w:t>
      </w:r>
      <w:r w:rsidRPr="00A83B95">
        <w:rPr>
          <w:iCs/>
          <w:sz w:val="18"/>
        </w:rPr>
        <w:t xml:space="preserve"> nakładów w gospodarce wodnej.</w:t>
      </w:r>
    </w:p>
    <w:p w14:paraId="5EF8FC4E" w14:textId="222A0038" w:rsidR="00694AF0" w:rsidRDefault="00694AF0" w:rsidP="00C5110E">
      <w:pPr>
        <w:jc w:val="both"/>
        <w:rPr>
          <w:sz w:val="18"/>
        </w:rPr>
      </w:pPr>
    </w:p>
    <w:p w14:paraId="01D4977A" w14:textId="4FA6A3B3" w:rsidR="00CE19E2" w:rsidRDefault="00CC1C44" w:rsidP="00C5110E">
      <w:pPr>
        <w:pStyle w:val="tytuwykresu"/>
        <w:jc w:val="both"/>
      </w:pPr>
      <w:r>
        <w:rPr>
          <w:noProof/>
          <w:lang w:eastAsia="pl-PL"/>
        </w:rPr>
        <w:drawing>
          <wp:anchor distT="0" distB="0" distL="114300" distR="114300" simplePos="0" relativeHeight="251751424" behindDoc="0" locked="0" layoutInCell="1" allowOverlap="1" wp14:anchorId="54C657E3" wp14:editId="4BB5879A">
            <wp:simplePos x="0" y="0"/>
            <wp:positionH relativeFrom="column">
              <wp:posOffset>19050</wp:posOffset>
            </wp:positionH>
            <wp:positionV relativeFrom="paragraph">
              <wp:posOffset>168275</wp:posOffset>
            </wp:positionV>
            <wp:extent cx="5122545" cy="2600325"/>
            <wp:effectExtent l="0" t="0" r="1905" b="0"/>
            <wp:wrapTopAndBottom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89B" w:rsidRPr="005F685D">
        <w:rPr>
          <w:spacing w:val="0"/>
        </w:rPr>
        <w:t xml:space="preserve">Wykres </w:t>
      </w:r>
      <w:r w:rsidR="00E903ED">
        <w:t>6</w:t>
      </w:r>
      <w:r w:rsidR="004F389B" w:rsidRPr="005F685D">
        <w:rPr>
          <w:spacing w:val="0"/>
        </w:rPr>
        <w:t xml:space="preserve">. </w:t>
      </w:r>
      <w:r w:rsidR="00CE19E2" w:rsidRPr="005F685D">
        <w:t>Struktura nakładów</w:t>
      </w:r>
      <w:r w:rsidR="00CE19E2" w:rsidRPr="00CE19E2">
        <w:t xml:space="preserve"> na środki t</w:t>
      </w:r>
      <w:r>
        <w:t>rwałe służące gospodarce wodnej</w:t>
      </w:r>
    </w:p>
    <w:p w14:paraId="2FDA89EF" w14:textId="478C0D32" w:rsidR="00CE19E2" w:rsidRDefault="00E50E07" w:rsidP="00C5110E">
      <w:pPr>
        <w:jc w:val="both"/>
      </w:pPr>
      <w:r w:rsidRPr="006D13FC">
        <w:t>Największe nakłady na ujęcia i doprowadzenia wody poniesiono w województwie mazowieckim (1</w:t>
      </w:r>
      <w:r w:rsidR="00A143C5" w:rsidRPr="006D13FC">
        <w:t>7</w:t>
      </w:r>
      <w:r w:rsidR="006D13FC" w:rsidRPr="006D13FC">
        <w:t>6</w:t>
      </w:r>
      <w:r w:rsidRPr="006D13FC">
        <w:t xml:space="preserve"> mln zł) i śląskim (1</w:t>
      </w:r>
      <w:r w:rsidR="00A143C5" w:rsidRPr="006D13FC">
        <w:t>56</w:t>
      </w:r>
      <w:r w:rsidRPr="006D13FC">
        <w:t xml:space="preserve"> mln zł). Natomiast na zbiorniki i stopnie wodne w śląskim (</w:t>
      </w:r>
      <w:r w:rsidR="00A143C5" w:rsidRPr="006D13FC">
        <w:t>283</w:t>
      </w:r>
      <w:r w:rsidRPr="006D13FC">
        <w:t xml:space="preserve"> mln zł) oraz dolnośląskim (</w:t>
      </w:r>
      <w:r w:rsidR="006D13FC" w:rsidRPr="006D13FC">
        <w:t>185</w:t>
      </w:r>
      <w:r w:rsidRPr="006D13FC">
        <w:t xml:space="preserve"> mln zł). Na obwałowania przeciwpowodziowe najwięcej środków przeznaczono w województwie dolnośląskim (1</w:t>
      </w:r>
      <w:r w:rsidR="00A143C5" w:rsidRPr="006D13FC">
        <w:t>02</w:t>
      </w:r>
      <w:r w:rsidRPr="006D13FC">
        <w:t xml:space="preserve"> mln zł).</w:t>
      </w:r>
    </w:p>
    <w:p w14:paraId="21836DE1" w14:textId="77777777" w:rsidR="0023202C" w:rsidRDefault="0023202C" w:rsidP="00C5110E">
      <w:pPr>
        <w:jc w:val="both"/>
      </w:pPr>
    </w:p>
    <w:p w14:paraId="69B1CC84" w14:textId="0AE46597" w:rsidR="000D002E" w:rsidRDefault="004F389B" w:rsidP="00C5110E">
      <w:pPr>
        <w:pStyle w:val="tytuwykresu"/>
        <w:jc w:val="both"/>
      </w:pPr>
      <w:r w:rsidRPr="009A5D91">
        <w:t xml:space="preserve">Wykres </w:t>
      </w:r>
      <w:r w:rsidR="00CC1C44">
        <w:t>7</w:t>
      </w:r>
      <w:r w:rsidRPr="009A5D91">
        <w:t xml:space="preserve">. </w:t>
      </w:r>
      <w:r w:rsidR="00CE19E2" w:rsidRPr="009A5D91">
        <w:t>Nakłady na środki trwałe służące gospodarce wodnej  według kierunków inwestowania i</w:t>
      </w:r>
      <w:r w:rsidR="004375A8">
        <w:t> </w:t>
      </w:r>
      <w:r w:rsidR="006F00FD" w:rsidRPr="006F00FD">
        <w:t>województw w 2017 r. (ceny bieżące)</w:t>
      </w:r>
    </w:p>
    <w:p w14:paraId="669D027C" w14:textId="25BFA454" w:rsidR="0023202C" w:rsidRDefault="006F00FD" w:rsidP="00CE19E2">
      <w:pPr>
        <w:pStyle w:val="tytuwykresu"/>
      </w:pPr>
      <w:r>
        <w:rPr>
          <w:noProof/>
          <w:lang w:eastAsia="pl-PL"/>
        </w:rPr>
        <w:drawing>
          <wp:anchor distT="0" distB="0" distL="114300" distR="114300" simplePos="0" relativeHeight="251749376" behindDoc="0" locked="0" layoutInCell="1" allowOverlap="1" wp14:anchorId="0978F432" wp14:editId="7976788B">
            <wp:simplePos x="0" y="0"/>
            <wp:positionH relativeFrom="column">
              <wp:posOffset>19050</wp:posOffset>
            </wp:positionH>
            <wp:positionV relativeFrom="paragraph">
              <wp:posOffset>114300</wp:posOffset>
            </wp:positionV>
            <wp:extent cx="5048250" cy="3248025"/>
            <wp:effectExtent l="0" t="0" r="0" b="0"/>
            <wp:wrapSquare wrapText="bothSides"/>
            <wp:docPr id="17" name="Wykres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0EC84C" w14:textId="77777777" w:rsidR="007E77B8" w:rsidRDefault="007E77B8" w:rsidP="00D0496E">
      <w:pPr>
        <w:rPr>
          <w:rFonts w:ascii="Fira Sans SemiBold" w:eastAsia="Times New Roman" w:hAnsi="Fira Sans SemiBold" w:cs="Times New Roman"/>
          <w:bCs/>
          <w:color w:val="001D77"/>
          <w:szCs w:val="24"/>
          <w:lang w:eastAsia="pl-PL"/>
        </w:rPr>
      </w:pPr>
    </w:p>
    <w:p w14:paraId="72798DDF" w14:textId="77777777" w:rsidR="001E08BE" w:rsidRDefault="001E08BE" w:rsidP="00D0496E">
      <w:pPr>
        <w:rPr>
          <w:rFonts w:ascii="Fira Sans SemiBold" w:eastAsia="Times New Roman" w:hAnsi="Fira Sans SemiBold" w:cs="Times New Roman"/>
          <w:bCs/>
          <w:color w:val="001D77"/>
          <w:szCs w:val="24"/>
          <w:lang w:eastAsia="pl-PL"/>
        </w:rPr>
      </w:pPr>
    </w:p>
    <w:p w14:paraId="68B5A230" w14:textId="77777777" w:rsidR="007E77B8" w:rsidRDefault="007E77B8" w:rsidP="00D0496E">
      <w:pPr>
        <w:rPr>
          <w:rFonts w:ascii="Fira Sans SemiBold" w:eastAsia="Times New Roman" w:hAnsi="Fira Sans SemiBold" w:cs="Times New Roman"/>
          <w:bCs/>
          <w:color w:val="001D77"/>
          <w:szCs w:val="24"/>
          <w:lang w:eastAsia="pl-PL"/>
        </w:rPr>
      </w:pPr>
    </w:p>
    <w:p w14:paraId="164D650B" w14:textId="1A7DFB05" w:rsidR="00D0496E" w:rsidRPr="00D0496E" w:rsidRDefault="00D0496E" w:rsidP="00D0496E">
      <w:pPr>
        <w:rPr>
          <w:rFonts w:ascii="Fira Sans SemiBold" w:eastAsia="Times New Roman" w:hAnsi="Fira Sans SemiBold" w:cs="Times New Roman"/>
          <w:bCs/>
          <w:color w:val="001D77"/>
          <w:szCs w:val="24"/>
          <w:lang w:eastAsia="pl-PL"/>
        </w:rPr>
      </w:pPr>
      <w:r w:rsidRPr="00D0496E">
        <w:rPr>
          <w:rFonts w:ascii="Fira Sans SemiBold" w:eastAsia="Times New Roman" w:hAnsi="Fira Sans SemiBold" w:cs="Times New Roman"/>
          <w:bCs/>
          <w:color w:val="001D77"/>
          <w:szCs w:val="24"/>
          <w:lang w:eastAsia="pl-PL"/>
        </w:rPr>
        <w:lastRenderedPageBreak/>
        <w:t>Efekty rzeczowe inwestycji ochrony środowiska i gospodarki wodnej</w:t>
      </w:r>
    </w:p>
    <w:p w14:paraId="66D0F072" w14:textId="00BDD53C" w:rsidR="00D0496E" w:rsidRPr="00A143C5" w:rsidRDefault="00D0496E" w:rsidP="00C5110E">
      <w:pPr>
        <w:jc w:val="both"/>
        <w:rPr>
          <w:highlight w:val="green"/>
        </w:rPr>
      </w:pPr>
      <w:r w:rsidRPr="00AF3FA0">
        <w:t>W 201</w:t>
      </w:r>
      <w:r w:rsidR="00A143C5" w:rsidRPr="00AF3FA0">
        <w:t>7</w:t>
      </w:r>
      <w:r w:rsidRPr="00AF3FA0">
        <w:t xml:space="preserve"> r. w wyniku realizacji inwestycji ochrony środowiska oddano do eksploatacji </w:t>
      </w:r>
      <w:r w:rsidR="00A143C5" w:rsidRPr="00AF3FA0">
        <w:t>21</w:t>
      </w:r>
      <w:r w:rsidRPr="00AF3FA0">
        <w:t xml:space="preserve"> oczyszczalni ścieków o łącznej przepustowości </w:t>
      </w:r>
      <w:r w:rsidR="00A143C5" w:rsidRPr="00AF3FA0">
        <w:t>68</w:t>
      </w:r>
      <w:r w:rsidRPr="00AF3FA0">
        <w:t xml:space="preserve"> tys. m</w:t>
      </w:r>
      <w:r w:rsidRPr="00AF3FA0">
        <w:rPr>
          <w:vertAlign w:val="superscript"/>
        </w:rPr>
        <w:t>3</w:t>
      </w:r>
      <w:r w:rsidRPr="00AF3FA0">
        <w:t>/dobę (w tym 1</w:t>
      </w:r>
      <w:r w:rsidR="00A143C5" w:rsidRPr="00AF3FA0">
        <w:t>8</w:t>
      </w:r>
      <w:r w:rsidRPr="00AF3FA0">
        <w:t xml:space="preserve"> oczyszczalni ścieków komunalnych o łącznej przepustowości </w:t>
      </w:r>
      <w:r w:rsidR="00A143C5" w:rsidRPr="00AF3FA0">
        <w:t>5</w:t>
      </w:r>
      <w:r w:rsidRPr="00AF3FA0">
        <w:t xml:space="preserve"> tys. m</w:t>
      </w:r>
      <w:r w:rsidRPr="00AF3FA0">
        <w:rPr>
          <w:vertAlign w:val="superscript"/>
        </w:rPr>
        <w:t>3</w:t>
      </w:r>
      <w:r w:rsidRPr="00AF3FA0">
        <w:t>/dobę). Do eksploatacji przekazano 2,</w:t>
      </w:r>
      <w:r w:rsidR="00AF3FA0" w:rsidRPr="00AF3FA0">
        <w:t>1</w:t>
      </w:r>
      <w:r w:rsidRPr="00AF3FA0">
        <w:t xml:space="preserve"> tys. km sieci kanalizacyjnej odprowadzającej ścieki oraz ok. </w:t>
      </w:r>
      <w:r w:rsidR="004375A8">
        <w:t>0,5 tys.</w:t>
      </w:r>
      <w:r w:rsidRPr="00AF3FA0">
        <w:t xml:space="preserve"> km sieci kanalizacyjnej odprowadzającej wody opadowe.</w:t>
      </w:r>
    </w:p>
    <w:p w14:paraId="78A52086" w14:textId="7E398A77" w:rsidR="00D0496E" w:rsidRPr="00AF3FA0" w:rsidRDefault="00D0496E" w:rsidP="00C5110E">
      <w:pPr>
        <w:jc w:val="both"/>
      </w:pPr>
      <w:r w:rsidRPr="00AF3FA0">
        <w:t xml:space="preserve">W zakresie ochrony powietrza oddano do użytku urządzenia do redukcji zanieczyszczeń pyłowych o zdolności </w:t>
      </w:r>
      <w:r w:rsidR="00A143C5" w:rsidRPr="00AF3FA0">
        <w:t>1</w:t>
      </w:r>
      <w:r w:rsidR="00AF3FA0" w:rsidRPr="00AF3FA0">
        <w:t>0</w:t>
      </w:r>
      <w:r w:rsidR="00A143C5" w:rsidRPr="00AF3FA0">
        <w:t>4</w:t>
      </w:r>
      <w:r w:rsidRPr="00AF3FA0">
        <w:t xml:space="preserve"> tys. ton/rok oraz urządzenia do neutralizacji zanieczyszczeń gazowych o zdolności 1</w:t>
      </w:r>
      <w:r w:rsidR="00AF3FA0" w:rsidRPr="00AF3FA0">
        <w:t xml:space="preserve">0 </w:t>
      </w:r>
      <w:r w:rsidRPr="00AF3FA0">
        <w:t>tys. ton/rok.</w:t>
      </w:r>
    </w:p>
    <w:p w14:paraId="71DDB015" w14:textId="1C8BF3DC" w:rsidR="00D0496E" w:rsidRPr="00E15D82" w:rsidRDefault="00D0496E" w:rsidP="00C5110E">
      <w:pPr>
        <w:jc w:val="both"/>
      </w:pPr>
      <w:r w:rsidRPr="00E15D82">
        <w:t>W 201</w:t>
      </w:r>
      <w:r w:rsidR="00A143C5" w:rsidRPr="00E15D82">
        <w:t>7</w:t>
      </w:r>
      <w:r w:rsidRPr="00E15D82">
        <w:t xml:space="preserve"> r. oddano do użytku urządzenia i instalacje do unieszkodliwiania odpadów o łącznej wydajności ok. </w:t>
      </w:r>
      <w:r w:rsidR="00E15D82" w:rsidRPr="00E15D82">
        <w:t>225</w:t>
      </w:r>
      <w:r w:rsidRPr="00E15D82">
        <w:t xml:space="preserve"> </w:t>
      </w:r>
      <w:r w:rsidR="00EC0BA7" w:rsidRPr="00E15D82">
        <w:t>tys.</w:t>
      </w:r>
      <w:r w:rsidRPr="00E15D82">
        <w:t xml:space="preserve"> ton/rok (w tym ok. </w:t>
      </w:r>
      <w:r w:rsidR="00E15D82" w:rsidRPr="00E15D82">
        <w:t>68</w:t>
      </w:r>
      <w:r w:rsidRPr="00E15D82">
        <w:t xml:space="preserve">% stanowiło unieszkodliwianie odpadów przez składowanie). </w:t>
      </w:r>
    </w:p>
    <w:p w14:paraId="3878D343" w14:textId="0A4E449F" w:rsidR="00D0496E" w:rsidRPr="00D0496E" w:rsidRDefault="00D0496E" w:rsidP="00C5110E">
      <w:pPr>
        <w:jc w:val="both"/>
      </w:pPr>
      <w:r w:rsidRPr="00685970">
        <w:t>W 201</w:t>
      </w:r>
      <w:r w:rsidR="00A143C5" w:rsidRPr="00685970">
        <w:t>7</w:t>
      </w:r>
      <w:r w:rsidRPr="00685970">
        <w:t xml:space="preserve"> r. w zakresie efektów rzeczowych inwestycji gospodarki wodnej oddano do użytku urządzenia zaopatrzenia w wodę (tj. ujęcia wody i uzdatniania wody) o łącznej wydajności ok. </w:t>
      </w:r>
      <w:r w:rsidR="00F94E26" w:rsidRPr="00685970">
        <w:t>86</w:t>
      </w:r>
      <w:r w:rsidRPr="00685970">
        <w:t xml:space="preserve"> tys. m</w:t>
      </w:r>
      <w:r w:rsidRPr="00685970">
        <w:rPr>
          <w:vertAlign w:val="superscript"/>
        </w:rPr>
        <w:t>3</w:t>
      </w:r>
      <w:r w:rsidRPr="00685970">
        <w:t xml:space="preserve">/d. Wydajność nowo oddanych ujęć wodnych wyniosła ok. </w:t>
      </w:r>
      <w:r w:rsidR="00F94E26" w:rsidRPr="00685970">
        <w:t>5</w:t>
      </w:r>
      <w:r w:rsidR="00685970" w:rsidRPr="00685970">
        <w:t>0</w:t>
      </w:r>
      <w:r w:rsidRPr="00685970">
        <w:t> tys. m</w:t>
      </w:r>
      <w:r w:rsidRPr="00685970">
        <w:rPr>
          <w:vertAlign w:val="superscript"/>
        </w:rPr>
        <w:t>3</w:t>
      </w:r>
      <w:r w:rsidRPr="00685970">
        <w:t>/dobę, zaś wydajność stacji uzdatniania wody 3</w:t>
      </w:r>
      <w:r w:rsidR="00685970" w:rsidRPr="00685970">
        <w:t>6</w:t>
      </w:r>
      <w:r w:rsidRPr="00685970">
        <w:t xml:space="preserve"> tys. m</w:t>
      </w:r>
      <w:r w:rsidRPr="00685970">
        <w:rPr>
          <w:vertAlign w:val="superscript"/>
        </w:rPr>
        <w:t>3</w:t>
      </w:r>
      <w:r w:rsidRPr="00685970">
        <w:t xml:space="preserve">/dobę. </w:t>
      </w:r>
      <w:r w:rsidR="00120CCC">
        <w:t>Ponadto powstało 2,7 tys. km sieci wodociągowej, w</w:t>
      </w:r>
      <w:r w:rsidRPr="00685970">
        <w:t xml:space="preserve">yregulowano </w:t>
      </w:r>
      <w:r w:rsidR="00F94E26" w:rsidRPr="00685970">
        <w:t>14</w:t>
      </w:r>
      <w:r w:rsidRPr="00685970">
        <w:t xml:space="preserve"> km rzek i potoków górskich oraz wybudowano lub zmodernizowano ok. 2</w:t>
      </w:r>
      <w:r w:rsidR="00F94E26" w:rsidRPr="00685970">
        <w:t>4</w:t>
      </w:r>
      <w:r w:rsidRPr="00685970">
        <w:t> km obwałowań przeciwpowodziowych.</w:t>
      </w:r>
    </w:p>
    <w:p w14:paraId="0EBE33DE" w14:textId="7660FCF1" w:rsidR="00517366" w:rsidRPr="00CE19E2" w:rsidRDefault="00517366" w:rsidP="00CE19E2">
      <w:pPr>
        <w:rPr>
          <w:b/>
        </w:rPr>
      </w:pPr>
    </w:p>
    <w:p w14:paraId="31E5984F" w14:textId="77777777" w:rsidR="00CE19E2" w:rsidRDefault="00CE19E2" w:rsidP="00E76D26">
      <w:pPr>
        <w:rPr>
          <w:sz w:val="18"/>
        </w:rPr>
      </w:pPr>
    </w:p>
    <w:p w14:paraId="1D87CF2A" w14:textId="77777777" w:rsidR="00A83B95" w:rsidRPr="00001C5B" w:rsidRDefault="00A83B95" w:rsidP="00E76D26">
      <w:pPr>
        <w:rPr>
          <w:sz w:val="18"/>
        </w:rPr>
        <w:sectPr w:rsidR="00A83B95" w:rsidRPr="00001C5B" w:rsidSect="003B18B6">
          <w:headerReference w:type="default" r:id="rId22"/>
          <w:footerReference w:type="default" r:id="rId23"/>
          <w:headerReference w:type="first" r:id="rId24"/>
          <w:footerReference w:type="first" r:id="rId25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14:paraId="5EF8FC4F" w14:textId="77777777"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69"/>
        <w:gridCol w:w="3798"/>
      </w:tblGrid>
      <w:tr w:rsidR="000470AA" w:rsidRPr="00463F4F" w14:paraId="5EF8FC59" w14:textId="77777777" w:rsidTr="00E23337">
        <w:trPr>
          <w:trHeight w:val="1912"/>
        </w:trPr>
        <w:tc>
          <w:tcPr>
            <w:tcW w:w="4379" w:type="dxa"/>
          </w:tcPr>
          <w:p w14:paraId="5EF8FC50" w14:textId="77777777" w:rsidR="000470AA" w:rsidRPr="008F3638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5EF8FC51" w14:textId="36250D12" w:rsidR="000470AA" w:rsidRPr="008F3638" w:rsidRDefault="000470AA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EC2382">
              <w:rPr>
                <w:rFonts w:cs="Arial"/>
                <w:b/>
                <w:color w:val="000000" w:themeColor="text1"/>
                <w:sz w:val="20"/>
              </w:rPr>
              <w:t>Badań Przestrzennych i Środowiska</w:t>
            </w:r>
          </w:p>
          <w:p w14:paraId="5EF8FC52" w14:textId="1143FB7F" w:rsidR="000470AA" w:rsidRPr="00BB4F09" w:rsidRDefault="00EE1AC8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Marta Wojciechowska</w:t>
            </w:r>
          </w:p>
          <w:p w14:paraId="5EF8FC53" w14:textId="328C28D0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 w:rsidR="005F2C59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5F2C59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3</w:t>
            </w:r>
            <w:r w:rsidR="00EE1AC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5</w:t>
            </w:r>
            <w:r w:rsidR="007A52B1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EE1AC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23</w:t>
            </w:r>
          </w:p>
          <w:p w14:paraId="5EF8FC54" w14:textId="0B24223C" w:rsidR="000470AA" w:rsidRPr="008F3638" w:rsidRDefault="000470AA" w:rsidP="00EE1AC8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0F5304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 xml:space="preserve">e-mail: </w:t>
            </w:r>
            <w:hyperlink r:id="rId26" w:history="1">
              <w:r w:rsidR="005E2E04" w:rsidRPr="000F5304">
                <w:rPr>
                  <w:rStyle w:val="Hipercze"/>
                  <w:rFonts w:ascii="Fira Sans" w:hAnsi="Fira Sans" w:cs="Arial"/>
                  <w:b/>
                  <w:sz w:val="20"/>
                  <w:szCs w:val="20"/>
                </w:rPr>
                <w:t>M.Wojciechowska@stat.gov.pl</w:t>
              </w:r>
            </w:hyperlink>
          </w:p>
        </w:tc>
        <w:tc>
          <w:tcPr>
            <w:tcW w:w="3942" w:type="dxa"/>
          </w:tcPr>
          <w:p w14:paraId="5EF8FC55" w14:textId="77777777"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5EF8FC56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14:paraId="5EF8FC57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14:paraId="5EF8FC58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7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14:paraId="5EF8FC5A" w14:textId="77777777" w:rsidR="000470AA" w:rsidRPr="002F591B" w:rsidRDefault="000470AA" w:rsidP="000470AA">
      <w:pPr>
        <w:rPr>
          <w:sz w:val="20"/>
          <w:lang w:val="en-US"/>
        </w:rPr>
      </w:pPr>
    </w:p>
    <w:p w14:paraId="5EF8FC5B" w14:textId="77777777" w:rsidR="000470AA" w:rsidRPr="002F591B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14:paraId="5EF8FC62" w14:textId="77777777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14:paraId="5EF8FC5C" w14:textId="77777777"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5EF8FC5D" w14:textId="77777777" w:rsidR="000470AA" w:rsidRPr="00C91687" w:rsidRDefault="000470AA" w:rsidP="000470AA">
            <w:pPr>
              <w:rPr>
                <w:sz w:val="20"/>
              </w:rPr>
            </w:pPr>
            <w:r w:rsidRPr="00C91687">
              <w:rPr>
                <w:b/>
                <w:sz w:val="20"/>
              </w:rPr>
              <w:t xml:space="preserve">tel.: </w:t>
            </w:r>
            <w:r w:rsidR="00097840"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14:paraId="5EF8FC5E" w14:textId="77777777" w:rsidR="000470AA" w:rsidRPr="002F591B" w:rsidRDefault="000470AA" w:rsidP="000470AA">
            <w:pPr>
              <w:rPr>
                <w:sz w:val="20"/>
                <w:lang w:val="en-US"/>
              </w:rPr>
            </w:pPr>
            <w:r w:rsidRPr="002F591B">
              <w:rPr>
                <w:b/>
                <w:sz w:val="20"/>
                <w:lang w:val="en-US"/>
              </w:rPr>
              <w:t>faks:</w:t>
            </w:r>
            <w:r w:rsidR="00097840" w:rsidRPr="002F591B">
              <w:rPr>
                <w:sz w:val="20"/>
                <w:lang w:val="en-US"/>
              </w:rPr>
              <w:t xml:space="preserve"> 22</w:t>
            </w:r>
            <w:r w:rsidRPr="002F591B">
              <w:rPr>
                <w:sz w:val="20"/>
                <w:lang w:val="en-US"/>
              </w:rPr>
              <w:t xml:space="preserve"> 608 38 86 </w:t>
            </w:r>
          </w:p>
          <w:p w14:paraId="5EF8FC5F" w14:textId="77777777" w:rsidR="000470AA" w:rsidRPr="002F591B" w:rsidRDefault="000470AA" w:rsidP="000470AA">
            <w:pPr>
              <w:rPr>
                <w:sz w:val="18"/>
                <w:lang w:val="en-US"/>
              </w:rPr>
            </w:pPr>
            <w:r w:rsidRPr="002F591B">
              <w:rPr>
                <w:b/>
                <w:sz w:val="20"/>
                <w:lang w:val="en-US"/>
              </w:rPr>
              <w:t>e-mail:</w:t>
            </w:r>
            <w:r w:rsidRPr="002F591B">
              <w:rPr>
                <w:sz w:val="20"/>
                <w:lang w:val="en-US"/>
              </w:rPr>
              <w:t xml:space="preserve"> </w:t>
            </w:r>
            <w:hyperlink r:id="rId28" w:history="1">
              <w:r w:rsidRPr="002F591B">
                <w:rPr>
                  <w:rStyle w:val="Hipercze"/>
                  <w:rFonts w:cstheme="minorBidi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5EF8FC60" w14:textId="77777777" w:rsidR="000470AA" w:rsidRPr="002F591B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5EF8FC76" wp14:editId="5EF8FC7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5EF8FC61" w14:textId="77777777"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14:paraId="5EF8FC66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5EF8FC63" w14:textId="77777777"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5EF8FC64" w14:textId="77777777"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5EF8FC78" wp14:editId="5EF8FC79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5EF8FC65" w14:textId="77777777"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14:paraId="5EF8FC6A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5EF8FC67" w14:textId="77777777"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5EF8FC68" w14:textId="77777777"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5EF8FC7A" wp14:editId="5EF8FC7B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5EF8FC69" w14:textId="77777777"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14:paraId="5EF8FC6B" w14:textId="77777777" w:rsidR="00D261A2" w:rsidRPr="00001C5B" w:rsidRDefault="001448A7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EF8FC7C" wp14:editId="5EF8FC7D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8FC9C" w14:textId="77777777"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</w:p>
                          <w:p w14:paraId="5EF8FC9D" w14:textId="77777777" w:rsidR="00AB6D25" w:rsidRPr="005068A9" w:rsidRDefault="00AB6D25" w:rsidP="00AB6D25">
                            <w:pPr>
                              <w:rPr>
                                <w:b/>
                              </w:rPr>
                            </w:pPr>
                            <w:r w:rsidRPr="005068A9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5EF8FC9F" w14:textId="5CE9826E" w:rsidR="00673C26" w:rsidRPr="005068A9" w:rsidRDefault="00963626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5068A9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Infografika - Ekonomiczne aspekty ochrony środowiska</w:t>
                            </w:r>
                          </w:p>
                          <w:p w14:paraId="431E4C0B" w14:textId="05CCA040" w:rsidR="00C91048" w:rsidRPr="005068A9" w:rsidRDefault="00C91048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5068A9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Publikacja Ochrona Środowiska 2017</w:t>
                            </w:r>
                          </w:p>
                          <w:p w14:paraId="5EF8FCA2" w14:textId="77777777" w:rsidR="00673C26" w:rsidRPr="005068A9" w:rsidRDefault="00673C26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5EF8FCA3" w14:textId="77777777" w:rsidR="00AB6D25" w:rsidRPr="00AC195B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C195B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5EF8FCA4" w14:textId="7548DF58" w:rsidR="00673C26" w:rsidRPr="00652704" w:rsidRDefault="00652704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652704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Bank Danych Lokalnych Stan I Ochrona Śr</w:t>
                            </w:r>
                            <w: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odowiska</w:t>
                            </w:r>
                          </w:p>
                          <w:p w14:paraId="5EF8FCA6" w14:textId="77777777" w:rsidR="00AB6D25" w:rsidRPr="00AC195B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5EF8FCA7" w14:textId="77777777" w:rsidR="00AB6D25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09B8CEA7" w14:textId="77777777" w:rsidR="00EB54E0" w:rsidRPr="00EB54E0" w:rsidRDefault="00EB54E0" w:rsidP="00EB54E0">
                            <w:pPr>
                              <w:rPr>
                                <w:rFonts w:cs="Arial"/>
                                <w:bCs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r w:rsidRPr="00EB54E0">
                              <w:rPr>
                                <w:rFonts w:cs="Arial"/>
                                <w:bCs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t>Efekty rzeczowe inwestycji ochrony środowiska i gospodarki wodnej</w:t>
                            </w:r>
                          </w:p>
                          <w:p w14:paraId="5EF8FCAA" w14:textId="77777777" w:rsidR="00AB6D25" w:rsidRPr="00AC195B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8FC7C" id="_x0000_s1030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UWPwIAAHMEAAAOAAAAZHJzL2Uyb0RvYy54bWysVFFv0zAQfkfiP1h+p0m7ZKzR0ml0DCEN&#10;mDT4AVfHaazZvmC7Tcav5+x0pYMHJMRL5POdv/vuu7tcXo1Gs710XqGt+XyWcyatwEbZbc2/fb19&#10;c8GZD2Ab0GhlzZ+k51er168uh76SC+xQN9IxArG+GvqadyH0VZZ50UkDfoa9tORs0RkIZLpt1jgY&#10;CN3obJHn59mArukdCuk93d5MTr5K+G0rRfjStl4GpmtO3EL6uvTdxG+2uoRq66DvlDjQgH9gYUBZ&#10;SnqEuoEAbOfUH1BGCYce2zATaDJsWyVkqoGqmee/VfPQQS9TLSSO748y+f8HKz7v7x1TTc3POLNg&#10;qEX3qCUL8tEHHCRbRImG3lcU+dBTbBjf4UitTuX6/g7Fo2cW1x3Yrbx2DodOQkMU5/FldvJ0wvER&#10;ZDN8woZywS5gAhpbZ6J+pAgjdGrV07E9cgxM0OV5WS7LklyCfEVRnOXLMuWA6vl573z4INGweKi5&#10;o/4neNjf+RDpQPUcErN51Kq5VVonI86cXGvH9kDTstlOJeqdIa7T3bLM8zQzhJNGNIYn1BdI2rKh&#10;5styUU4i/SXLxOsFglGB1kIrU/MLSjklhSoq+9429ACqAEpPZyKj7UHqqO6kcxg3Y2ps8dzBDTZP&#10;pL3DaQtoa+nQofvB2UAbUHP/fQdOcqY/Wurfcl4UcWWSUZRvF2S4U8/m1ANWEFTNA2fTcR3SmkWq&#10;Fq+pz61KHYgDMTE5UKbJThIetjCuzqmdon79K1Y/AQ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CTuOUWPwIAAHM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14:paraId="5EF8FC9C" w14:textId="77777777" w:rsidR="00AB6D25" w:rsidRDefault="00AB6D25" w:rsidP="00AB6D25">
                      <w:pPr>
                        <w:rPr>
                          <w:b/>
                        </w:rPr>
                      </w:pPr>
                    </w:p>
                    <w:p w14:paraId="5EF8FC9D" w14:textId="77777777" w:rsidR="00AB6D25" w:rsidRPr="005068A9" w:rsidRDefault="00AB6D25" w:rsidP="00AB6D25">
                      <w:pPr>
                        <w:rPr>
                          <w:b/>
                        </w:rPr>
                      </w:pPr>
                      <w:r w:rsidRPr="005068A9">
                        <w:rPr>
                          <w:b/>
                        </w:rPr>
                        <w:t>Powiązane opracowania</w:t>
                      </w:r>
                    </w:p>
                    <w:p w14:paraId="5EF8FC9F" w14:textId="5CE9826E" w:rsidR="00673C26" w:rsidRPr="005068A9" w:rsidRDefault="00963626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5068A9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Infografika - Ekonomiczne aspekty ochrony środowiska</w:t>
                      </w:r>
                    </w:p>
                    <w:p w14:paraId="431E4C0B" w14:textId="05CCA040" w:rsidR="00C91048" w:rsidRPr="005068A9" w:rsidRDefault="00C91048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5068A9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Publikacja Ochrona Środowiska 2017</w:t>
                      </w:r>
                    </w:p>
                    <w:p w14:paraId="5EF8FCA2" w14:textId="77777777" w:rsidR="00673C26" w:rsidRPr="005068A9" w:rsidRDefault="00673C26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5EF8FCA3" w14:textId="77777777" w:rsidR="00AB6D25" w:rsidRPr="00AC195B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C195B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5EF8FCA4" w14:textId="7548DF58" w:rsidR="00673C26" w:rsidRPr="00652704" w:rsidRDefault="00652704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652704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Bank Danych Lokalnych Stan I Ochrona Śr</w:t>
                      </w:r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odowiska</w:t>
                      </w:r>
                    </w:p>
                    <w:p w14:paraId="5EF8FCA6" w14:textId="77777777" w:rsidR="00AB6D25" w:rsidRPr="00AC195B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5EF8FCA7" w14:textId="77777777" w:rsidR="00AB6D25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09B8CEA7" w14:textId="77777777" w:rsidR="00EB54E0" w:rsidRPr="00EB54E0" w:rsidRDefault="00EB54E0" w:rsidP="00EB54E0">
                      <w:pPr>
                        <w:rPr>
                          <w:rFonts w:cs="Arial"/>
                          <w:bCs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r w:rsidRPr="00EB54E0">
                        <w:rPr>
                          <w:rFonts w:cs="Arial"/>
                          <w:bCs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t>Efekty rzeczowe inwestycji ochrony środowiska i gospodarki wodnej</w:t>
                      </w:r>
                    </w:p>
                    <w:p w14:paraId="5EF8FCAA" w14:textId="77777777" w:rsidR="00AB6D25" w:rsidRPr="00AC195B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3B18B6">
      <w:headerReference w:type="default" r:id="rId32"/>
      <w:footerReference w:type="default" r:id="rId33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978FB" w14:textId="77777777" w:rsidR="00B2760A" w:rsidRDefault="00B2760A" w:rsidP="000662E2">
      <w:pPr>
        <w:spacing w:after="0" w:line="240" w:lineRule="auto"/>
      </w:pPr>
      <w:r>
        <w:separator/>
      </w:r>
    </w:p>
  </w:endnote>
  <w:endnote w:type="continuationSeparator" w:id="0">
    <w:p w14:paraId="3E349087" w14:textId="77777777" w:rsidR="00B2760A" w:rsidRDefault="00B2760A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Extra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14:paraId="5EF8FC84" w14:textId="77777777"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008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14:paraId="5EF8FC87" w14:textId="77777777"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008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5EF8FC8A" w14:textId="77777777" w:rsidR="003B18B6" w:rsidRDefault="003B18B6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008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9DDC0" w14:textId="77777777" w:rsidR="00B2760A" w:rsidRDefault="00B2760A" w:rsidP="000662E2">
      <w:pPr>
        <w:spacing w:after="0" w:line="240" w:lineRule="auto"/>
      </w:pPr>
      <w:r>
        <w:separator/>
      </w:r>
    </w:p>
  </w:footnote>
  <w:footnote w:type="continuationSeparator" w:id="0">
    <w:p w14:paraId="71F969B6" w14:textId="77777777" w:rsidR="00B2760A" w:rsidRDefault="00B2760A" w:rsidP="000662E2">
      <w:pPr>
        <w:spacing w:after="0" w:line="240" w:lineRule="auto"/>
      </w:pPr>
      <w:r>
        <w:continuationSeparator/>
      </w:r>
    </w:p>
  </w:footnote>
  <w:footnote w:id="1">
    <w:p w14:paraId="3851A456" w14:textId="56F0A917" w:rsidR="00EC21BF" w:rsidRPr="00904252" w:rsidRDefault="00EC21BF" w:rsidP="00EC21BF">
      <w:pPr>
        <w:spacing w:after="240" w:line="240" w:lineRule="auto"/>
        <w:jc w:val="both"/>
        <w:rPr>
          <w:rFonts w:ascii="Fira Sans Extra Condensed" w:hAnsi="Fira Sans Extra Condensed"/>
          <w:iCs/>
          <w:sz w:val="20"/>
        </w:rPr>
      </w:pPr>
      <w:r w:rsidRPr="00904252">
        <w:rPr>
          <w:rStyle w:val="Odwoanieprzypisudolnego"/>
          <w:rFonts w:ascii="Fira Sans Extra Condensed" w:hAnsi="Fira Sans Extra Condensed"/>
          <w:sz w:val="16"/>
        </w:rPr>
        <w:footnoteRef/>
      </w:r>
      <w:r w:rsidRPr="00904252">
        <w:rPr>
          <w:rFonts w:ascii="Fira Sans Extra Condensed" w:hAnsi="Fira Sans Extra Condensed"/>
          <w:sz w:val="16"/>
        </w:rPr>
        <w:t xml:space="preserve"> </w:t>
      </w:r>
      <w:r w:rsidR="00B81A03">
        <w:rPr>
          <w:rFonts w:ascii="Fira Sans Extra Condensed" w:hAnsi="Fira Sans Extra Condensed"/>
          <w:sz w:val="16"/>
        </w:rPr>
        <w:t xml:space="preserve">Zgodnie z </w:t>
      </w:r>
      <w:r w:rsidR="00B81A03" w:rsidRPr="00B81A03">
        <w:rPr>
          <w:rFonts w:ascii="Fira Sans Extra Condensed" w:hAnsi="Fira Sans Extra Condensed"/>
          <w:sz w:val="16"/>
        </w:rPr>
        <w:t>Polską Klasyfikacją Statystyczną Dotyczącą Działalności i Urządzeń Związanych z Ochroną Środowiska</w:t>
      </w:r>
      <w:r w:rsidR="00B81A03">
        <w:rPr>
          <w:rFonts w:ascii="Fira Sans Extra Condensed" w:hAnsi="Fira Sans Extra Condensed"/>
          <w:sz w:val="16"/>
        </w:rPr>
        <w:t xml:space="preserve">, wprowadzoną </w:t>
      </w:r>
      <w:r w:rsidRPr="00B81A03">
        <w:rPr>
          <w:rFonts w:ascii="Fira Sans Extra Condensed" w:hAnsi="Fira Sans Extra Condensed"/>
          <w:sz w:val="16"/>
        </w:rPr>
        <w:t>Rozporządzenie</w:t>
      </w:r>
      <w:r w:rsidR="00B81A03">
        <w:rPr>
          <w:rFonts w:ascii="Fira Sans Extra Condensed" w:hAnsi="Fira Sans Extra Condensed"/>
          <w:sz w:val="16"/>
        </w:rPr>
        <w:t>m</w:t>
      </w:r>
      <w:r w:rsidRPr="00B81A03">
        <w:rPr>
          <w:rFonts w:ascii="Fira Sans Extra Condensed" w:hAnsi="Fira Sans Extra Condensed"/>
          <w:sz w:val="16"/>
        </w:rPr>
        <w:t xml:space="preserve"> Rady Ministrów z 2 marca 1999 r. </w:t>
      </w:r>
      <w:r w:rsidRPr="00636AB9">
        <w:rPr>
          <w:rFonts w:ascii="Fira Sans Extra Condensed" w:hAnsi="Fira Sans Extra Condensed" w:cs="Arial"/>
          <w:iCs/>
          <w:sz w:val="16"/>
        </w:rPr>
        <w:t>(Dz. U. z 1999 r. Nr 25, poz. 218).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8FC82" w14:textId="77777777"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EF8FC8B" wp14:editId="5EF8FC8C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B18DD0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5EF8FC83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8FC85" w14:textId="77777777" w:rsidR="00003437" w:rsidRDefault="00AE2D4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EF8FC8D" wp14:editId="5EF8FC8E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F8FCAC" w14:textId="77777777"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F8FC8D" id="Schemat blokowy: opóźnienie 6" o:spid="_x0000_s1031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5EF8FCAC" w14:textId="77777777"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EF8FC8F" wp14:editId="5EF8FC90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CE7EFE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074DD8">
      <w:rPr>
        <w:noProof/>
        <w:lang w:eastAsia="pl-PL"/>
      </w:rPr>
      <w:drawing>
        <wp:inline distT="0" distB="0" distL="0" distR="0" wp14:anchorId="5EF8FC91" wp14:editId="5EF8FC92">
          <wp:extent cx="1153274" cy="720000"/>
          <wp:effectExtent l="0" t="0" r="0" b="4445"/>
          <wp:docPr id="41" name="Obraz 41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F8FC86" w14:textId="77777777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EF8FC93" wp14:editId="5EF8FC94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F8FCAD" w14:textId="1903BA3C" w:rsidR="00F37172" w:rsidRPr="00C97596" w:rsidRDefault="009566D4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29</w:t>
                          </w:r>
                          <w:r w:rsidR="00A810F9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7B45B0">
                            <w:rPr>
                              <w:rFonts w:ascii="Fira Sans SemiBold" w:hAnsi="Fira Sans SemiBold"/>
                              <w:color w:val="001D77"/>
                            </w:rPr>
                            <w:t>08</w:t>
                          </w:r>
                          <w:r w:rsidR="00A810F9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7B45B0">
                            <w:rPr>
                              <w:rFonts w:ascii="Fira Sans SemiBold" w:hAnsi="Fira Sans SemiBold"/>
                              <w:color w:val="001D77"/>
                            </w:rPr>
                            <w:t>2018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F8FC93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5EF8FCAD" w14:textId="1903BA3C" w:rsidR="00F37172" w:rsidRPr="00C97596" w:rsidRDefault="009566D4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29</w:t>
                    </w:r>
                    <w:r w:rsidR="00A810F9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7B45B0">
                      <w:rPr>
                        <w:rFonts w:ascii="Fira Sans SemiBold" w:hAnsi="Fira Sans SemiBold"/>
                        <w:color w:val="001D77"/>
                      </w:rPr>
                      <w:t>08</w:t>
                    </w:r>
                    <w:r w:rsidR="00A810F9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7B45B0">
                      <w:rPr>
                        <w:rFonts w:ascii="Fira Sans SemiBold" w:hAnsi="Fira Sans SemiBold"/>
                        <w:color w:val="001D77"/>
                      </w:rPr>
                      <w:t>2018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8FC88" w14:textId="77777777" w:rsidR="00607CC5" w:rsidRDefault="00607CC5">
    <w:pPr>
      <w:pStyle w:val="Nagwek"/>
    </w:pPr>
  </w:p>
  <w:p w14:paraId="5EF8FC89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75pt;height:125.25pt;visibility:visible;mso-wrap-style:square" o:bullet="t">
        <v:imagedata r:id="rId1" o:title=""/>
      </v:shape>
    </w:pict>
  </w:numPicBullet>
  <w:numPicBullet w:numPicBulletId="1">
    <w:pict>
      <v:shape id="_x0000_i1029" type="#_x0000_t75" style="width:123.75pt;height:125.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709F"/>
    <w:rsid w:val="000108B8"/>
    <w:rsid w:val="000152F5"/>
    <w:rsid w:val="000432BD"/>
    <w:rsid w:val="0004582E"/>
    <w:rsid w:val="000470AA"/>
    <w:rsid w:val="00057CA1"/>
    <w:rsid w:val="000662E2"/>
    <w:rsid w:val="00066883"/>
    <w:rsid w:val="00074DD8"/>
    <w:rsid w:val="000806F7"/>
    <w:rsid w:val="0009225A"/>
    <w:rsid w:val="00097840"/>
    <w:rsid w:val="000B0727"/>
    <w:rsid w:val="000C135D"/>
    <w:rsid w:val="000D002E"/>
    <w:rsid w:val="000D1D43"/>
    <w:rsid w:val="000D225C"/>
    <w:rsid w:val="000D2A5C"/>
    <w:rsid w:val="000D4F96"/>
    <w:rsid w:val="000E0918"/>
    <w:rsid w:val="000E129F"/>
    <w:rsid w:val="000E4CAD"/>
    <w:rsid w:val="000F14A9"/>
    <w:rsid w:val="000F3988"/>
    <w:rsid w:val="000F5304"/>
    <w:rsid w:val="001011C3"/>
    <w:rsid w:val="00110D87"/>
    <w:rsid w:val="00114DB9"/>
    <w:rsid w:val="00116087"/>
    <w:rsid w:val="00120CCC"/>
    <w:rsid w:val="00130296"/>
    <w:rsid w:val="001423B6"/>
    <w:rsid w:val="001448A7"/>
    <w:rsid w:val="00146621"/>
    <w:rsid w:val="0015274A"/>
    <w:rsid w:val="00162325"/>
    <w:rsid w:val="00165516"/>
    <w:rsid w:val="001951DA"/>
    <w:rsid w:val="001A025E"/>
    <w:rsid w:val="001B29A7"/>
    <w:rsid w:val="001C3269"/>
    <w:rsid w:val="001D19EF"/>
    <w:rsid w:val="001D1DB4"/>
    <w:rsid w:val="001E08BE"/>
    <w:rsid w:val="001F1D37"/>
    <w:rsid w:val="001F2D59"/>
    <w:rsid w:val="00221859"/>
    <w:rsid w:val="002259A6"/>
    <w:rsid w:val="0023202C"/>
    <w:rsid w:val="00246A52"/>
    <w:rsid w:val="002574F9"/>
    <w:rsid w:val="00262B61"/>
    <w:rsid w:val="00276811"/>
    <w:rsid w:val="00282699"/>
    <w:rsid w:val="002926DF"/>
    <w:rsid w:val="00296697"/>
    <w:rsid w:val="002974A6"/>
    <w:rsid w:val="002A6E57"/>
    <w:rsid w:val="002B0472"/>
    <w:rsid w:val="002B6B12"/>
    <w:rsid w:val="002C03A1"/>
    <w:rsid w:val="002D1C60"/>
    <w:rsid w:val="002E6140"/>
    <w:rsid w:val="002E6985"/>
    <w:rsid w:val="002E71B6"/>
    <w:rsid w:val="002F591B"/>
    <w:rsid w:val="002F70EF"/>
    <w:rsid w:val="002F77C8"/>
    <w:rsid w:val="00303E72"/>
    <w:rsid w:val="00304F22"/>
    <w:rsid w:val="00305899"/>
    <w:rsid w:val="00306C7C"/>
    <w:rsid w:val="00322EDD"/>
    <w:rsid w:val="00332320"/>
    <w:rsid w:val="00347D72"/>
    <w:rsid w:val="00357611"/>
    <w:rsid w:val="00366181"/>
    <w:rsid w:val="00367237"/>
    <w:rsid w:val="0037077F"/>
    <w:rsid w:val="00372411"/>
    <w:rsid w:val="00373882"/>
    <w:rsid w:val="003843DB"/>
    <w:rsid w:val="00393761"/>
    <w:rsid w:val="00393B70"/>
    <w:rsid w:val="0039457E"/>
    <w:rsid w:val="00397D18"/>
    <w:rsid w:val="003A0E4D"/>
    <w:rsid w:val="003A1B36"/>
    <w:rsid w:val="003B1454"/>
    <w:rsid w:val="003B18B6"/>
    <w:rsid w:val="003C59E0"/>
    <w:rsid w:val="003C6C8D"/>
    <w:rsid w:val="003D0205"/>
    <w:rsid w:val="003D3470"/>
    <w:rsid w:val="003D4F95"/>
    <w:rsid w:val="003D5F42"/>
    <w:rsid w:val="003D60A9"/>
    <w:rsid w:val="003D60CC"/>
    <w:rsid w:val="003F13B5"/>
    <w:rsid w:val="003F4C97"/>
    <w:rsid w:val="003F7FE6"/>
    <w:rsid w:val="00400193"/>
    <w:rsid w:val="00403126"/>
    <w:rsid w:val="004212E7"/>
    <w:rsid w:val="004217F8"/>
    <w:rsid w:val="0042446D"/>
    <w:rsid w:val="00427BF8"/>
    <w:rsid w:val="00431C02"/>
    <w:rsid w:val="00437395"/>
    <w:rsid w:val="004375A8"/>
    <w:rsid w:val="00445047"/>
    <w:rsid w:val="00463E39"/>
    <w:rsid w:val="00463F4F"/>
    <w:rsid w:val="004657FC"/>
    <w:rsid w:val="00471AA8"/>
    <w:rsid w:val="004733F6"/>
    <w:rsid w:val="00474956"/>
    <w:rsid w:val="00474E69"/>
    <w:rsid w:val="00476FBF"/>
    <w:rsid w:val="0049621B"/>
    <w:rsid w:val="004C1895"/>
    <w:rsid w:val="004C6D40"/>
    <w:rsid w:val="004D7ABD"/>
    <w:rsid w:val="004E3474"/>
    <w:rsid w:val="004F0C3C"/>
    <w:rsid w:val="004F389B"/>
    <w:rsid w:val="004F63FC"/>
    <w:rsid w:val="00505A92"/>
    <w:rsid w:val="005068A9"/>
    <w:rsid w:val="00517366"/>
    <w:rsid w:val="005203F1"/>
    <w:rsid w:val="00521BC3"/>
    <w:rsid w:val="005321BC"/>
    <w:rsid w:val="00533632"/>
    <w:rsid w:val="00541E6E"/>
    <w:rsid w:val="0054251F"/>
    <w:rsid w:val="00545FA8"/>
    <w:rsid w:val="005520D8"/>
    <w:rsid w:val="00556CF1"/>
    <w:rsid w:val="005762A7"/>
    <w:rsid w:val="005774BF"/>
    <w:rsid w:val="0058514B"/>
    <w:rsid w:val="005916D7"/>
    <w:rsid w:val="005A36A0"/>
    <w:rsid w:val="005A698C"/>
    <w:rsid w:val="005B7FFA"/>
    <w:rsid w:val="005E0799"/>
    <w:rsid w:val="005E2E04"/>
    <w:rsid w:val="005F2C59"/>
    <w:rsid w:val="005F5A80"/>
    <w:rsid w:val="005F685D"/>
    <w:rsid w:val="00600FD5"/>
    <w:rsid w:val="006044FF"/>
    <w:rsid w:val="00607CC5"/>
    <w:rsid w:val="00621623"/>
    <w:rsid w:val="006244C7"/>
    <w:rsid w:val="00630A38"/>
    <w:rsid w:val="00632CEC"/>
    <w:rsid w:val="00633014"/>
    <w:rsid w:val="0063437B"/>
    <w:rsid w:val="00636AB9"/>
    <w:rsid w:val="00652704"/>
    <w:rsid w:val="006619A4"/>
    <w:rsid w:val="006673CA"/>
    <w:rsid w:val="00673C26"/>
    <w:rsid w:val="00676244"/>
    <w:rsid w:val="0067726D"/>
    <w:rsid w:val="006812AF"/>
    <w:rsid w:val="0068327D"/>
    <w:rsid w:val="006834E3"/>
    <w:rsid w:val="00685970"/>
    <w:rsid w:val="00685E7C"/>
    <w:rsid w:val="00694AF0"/>
    <w:rsid w:val="006A4686"/>
    <w:rsid w:val="006A70AF"/>
    <w:rsid w:val="006B0E9E"/>
    <w:rsid w:val="006B5AE4"/>
    <w:rsid w:val="006D13FC"/>
    <w:rsid w:val="006D1507"/>
    <w:rsid w:val="006D4054"/>
    <w:rsid w:val="006E02EC"/>
    <w:rsid w:val="006F00FD"/>
    <w:rsid w:val="006F1A40"/>
    <w:rsid w:val="0071157D"/>
    <w:rsid w:val="00712BA3"/>
    <w:rsid w:val="00714439"/>
    <w:rsid w:val="007211B1"/>
    <w:rsid w:val="007304D2"/>
    <w:rsid w:val="00746187"/>
    <w:rsid w:val="00752C8A"/>
    <w:rsid w:val="007622EA"/>
    <w:rsid w:val="0076254F"/>
    <w:rsid w:val="0077542A"/>
    <w:rsid w:val="007801F5"/>
    <w:rsid w:val="00783CA4"/>
    <w:rsid w:val="007842FB"/>
    <w:rsid w:val="00786124"/>
    <w:rsid w:val="0079514B"/>
    <w:rsid w:val="007A2DC1"/>
    <w:rsid w:val="007A52B1"/>
    <w:rsid w:val="007B18E5"/>
    <w:rsid w:val="007B45B0"/>
    <w:rsid w:val="007D3319"/>
    <w:rsid w:val="007D335D"/>
    <w:rsid w:val="007E3314"/>
    <w:rsid w:val="007E4B03"/>
    <w:rsid w:val="007E77B8"/>
    <w:rsid w:val="007F324B"/>
    <w:rsid w:val="007F34E3"/>
    <w:rsid w:val="0080553C"/>
    <w:rsid w:val="00805B46"/>
    <w:rsid w:val="00820B1E"/>
    <w:rsid w:val="00825DC2"/>
    <w:rsid w:val="00834AD3"/>
    <w:rsid w:val="00843795"/>
    <w:rsid w:val="00847F0F"/>
    <w:rsid w:val="00852448"/>
    <w:rsid w:val="00853008"/>
    <w:rsid w:val="00855422"/>
    <w:rsid w:val="0087282F"/>
    <w:rsid w:val="008770E1"/>
    <w:rsid w:val="0088258A"/>
    <w:rsid w:val="00886332"/>
    <w:rsid w:val="0089696C"/>
    <w:rsid w:val="008A26D9"/>
    <w:rsid w:val="008A38D4"/>
    <w:rsid w:val="008A638B"/>
    <w:rsid w:val="008B2C18"/>
    <w:rsid w:val="008C070A"/>
    <w:rsid w:val="008C0C29"/>
    <w:rsid w:val="008D16AE"/>
    <w:rsid w:val="008F3638"/>
    <w:rsid w:val="008F4441"/>
    <w:rsid w:val="008F6F31"/>
    <w:rsid w:val="008F74DF"/>
    <w:rsid w:val="00904252"/>
    <w:rsid w:val="009127BA"/>
    <w:rsid w:val="00915163"/>
    <w:rsid w:val="009227A6"/>
    <w:rsid w:val="00933EC1"/>
    <w:rsid w:val="009530DB"/>
    <w:rsid w:val="00953222"/>
    <w:rsid w:val="00953676"/>
    <w:rsid w:val="009566D4"/>
    <w:rsid w:val="00963626"/>
    <w:rsid w:val="00966732"/>
    <w:rsid w:val="009705EE"/>
    <w:rsid w:val="00977927"/>
    <w:rsid w:val="0098135C"/>
    <w:rsid w:val="0098156A"/>
    <w:rsid w:val="00991BAC"/>
    <w:rsid w:val="009A5D91"/>
    <w:rsid w:val="009A6EA0"/>
    <w:rsid w:val="009B7539"/>
    <w:rsid w:val="009C1335"/>
    <w:rsid w:val="009C1AB2"/>
    <w:rsid w:val="009C7251"/>
    <w:rsid w:val="009C72B5"/>
    <w:rsid w:val="009E2E91"/>
    <w:rsid w:val="00A0147D"/>
    <w:rsid w:val="00A139F5"/>
    <w:rsid w:val="00A143C5"/>
    <w:rsid w:val="00A26C83"/>
    <w:rsid w:val="00A365F4"/>
    <w:rsid w:val="00A47D80"/>
    <w:rsid w:val="00A51021"/>
    <w:rsid w:val="00A53132"/>
    <w:rsid w:val="00A563F2"/>
    <w:rsid w:val="00A566E8"/>
    <w:rsid w:val="00A65D2C"/>
    <w:rsid w:val="00A810F9"/>
    <w:rsid w:val="00A83B95"/>
    <w:rsid w:val="00A86ECC"/>
    <w:rsid w:val="00A86FCC"/>
    <w:rsid w:val="00AA710D"/>
    <w:rsid w:val="00AB28B7"/>
    <w:rsid w:val="00AB6D25"/>
    <w:rsid w:val="00AC195B"/>
    <w:rsid w:val="00AD70F7"/>
    <w:rsid w:val="00AE2D4B"/>
    <w:rsid w:val="00AE4F99"/>
    <w:rsid w:val="00AF3FA0"/>
    <w:rsid w:val="00B1030A"/>
    <w:rsid w:val="00B11B69"/>
    <w:rsid w:val="00B14952"/>
    <w:rsid w:val="00B2760A"/>
    <w:rsid w:val="00B31E5A"/>
    <w:rsid w:val="00B42CCA"/>
    <w:rsid w:val="00B523C0"/>
    <w:rsid w:val="00B653AB"/>
    <w:rsid w:val="00B65F9E"/>
    <w:rsid w:val="00B66B19"/>
    <w:rsid w:val="00B80A27"/>
    <w:rsid w:val="00B81A03"/>
    <w:rsid w:val="00B8228C"/>
    <w:rsid w:val="00B91069"/>
    <w:rsid w:val="00B914E9"/>
    <w:rsid w:val="00B956EE"/>
    <w:rsid w:val="00BA2BA1"/>
    <w:rsid w:val="00BA3562"/>
    <w:rsid w:val="00BB4F09"/>
    <w:rsid w:val="00BD4E33"/>
    <w:rsid w:val="00BE0088"/>
    <w:rsid w:val="00BE26BB"/>
    <w:rsid w:val="00C030DE"/>
    <w:rsid w:val="00C0676C"/>
    <w:rsid w:val="00C161DF"/>
    <w:rsid w:val="00C21691"/>
    <w:rsid w:val="00C22105"/>
    <w:rsid w:val="00C23993"/>
    <w:rsid w:val="00C244B6"/>
    <w:rsid w:val="00C3702F"/>
    <w:rsid w:val="00C42FE4"/>
    <w:rsid w:val="00C4500A"/>
    <w:rsid w:val="00C5110E"/>
    <w:rsid w:val="00C64A37"/>
    <w:rsid w:val="00C7158E"/>
    <w:rsid w:val="00C7250B"/>
    <w:rsid w:val="00C7346B"/>
    <w:rsid w:val="00C77C0E"/>
    <w:rsid w:val="00C91048"/>
    <w:rsid w:val="00C91687"/>
    <w:rsid w:val="00C924A8"/>
    <w:rsid w:val="00C945FE"/>
    <w:rsid w:val="00C96FAA"/>
    <w:rsid w:val="00C97A04"/>
    <w:rsid w:val="00CA107B"/>
    <w:rsid w:val="00CA1513"/>
    <w:rsid w:val="00CA484D"/>
    <w:rsid w:val="00CA4FB6"/>
    <w:rsid w:val="00CC1B57"/>
    <w:rsid w:val="00CC1C44"/>
    <w:rsid w:val="00CC739E"/>
    <w:rsid w:val="00CD46CC"/>
    <w:rsid w:val="00CD58B7"/>
    <w:rsid w:val="00CE19E2"/>
    <w:rsid w:val="00CF4099"/>
    <w:rsid w:val="00D00796"/>
    <w:rsid w:val="00D0496E"/>
    <w:rsid w:val="00D10828"/>
    <w:rsid w:val="00D11956"/>
    <w:rsid w:val="00D261A2"/>
    <w:rsid w:val="00D308D3"/>
    <w:rsid w:val="00D416FD"/>
    <w:rsid w:val="00D616D2"/>
    <w:rsid w:val="00D63B5F"/>
    <w:rsid w:val="00D64E4C"/>
    <w:rsid w:val="00D70EF7"/>
    <w:rsid w:val="00D74FF6"/>
    <w:rsid w:val="00D8397C"/>
    <w:rsid w:val="00D90A76"/>
    <w:rsid w:val="00D94EED"/>
    <w:rsid w:val="00D96026"/>
    <w:rsid w:val="00D97E45"/>
    <w:rsid w:val="00DA7C1C"/>
    <w:rsid w:val="00DB147A"/>
    <w:rsid w:val="00DB1B7A"/>
    <w:rsid w:val="00DB2846"/>
    <w:rsid w:val="00DC25E5"/>
    <w:rsid w:val="00DC6708"/>
    <w:rsid w:val="00DE74E8"/>
    <w:rsid w:val="00E01201"/>
    <w:rsid w:val="00E01436"/>
    <w:rsid w:val="00E03567"/>
    <w:rsid w:val="00E045BD"/>
    <w:rsid w:val="00E15D82"/>
    <w:rsid w:val="00E16CAC"/>
    <w:rsid w:val="00E17B77"/>
    <w:rsid w:val="00E23337"/>
    <w:rsid w:val="00E259EA"/>
    <w:rsid w:val="00E27F31"/>
    <w:rsid w:val="00E32061"/>
    <w:rsid w:val="00E3796A"/>
    <w:rsid w:val="00E42FF9"/>
    <w:rsid w:val="00E4714C"/>
    <w:rsid w:val="00E50E07"/>
    <w:rsid w:val="00E51AEB"/>
    <w:rsid w:val="00E522A7"/>
    <w:rsid w:val="00E54452"/>
    <w:rsid w:val="00E664C5"/>
    <w:rsid w:val="00E671A2"/>
    <w:rsid w:val="00E7539D"/>
    <w:rsid w:val="00E76D26"/>
    <w:rsid w:val="00E87AD4"/>
    <w:rsid w:val="00E903ED"/>
    <w:rsid w:val="00EB1390"/>
    <w:rsid w:val="00EB2C71"/>
    <w:rsid w:val="00EB4340"/>
    <w:rsid w:val="00EB54E0"/>
    <w:rsid w:val="00EB556D"/>
    <w:rsid w:val="00EB5A7D"/>
    <w:rsid w:val="00EC0BA7"/>
    <w:rsid w:val="00EC2182"/>
    <w:rsid w:val="00EC21BF"/>
    <w:rsid w:val="00EC2382"/>
    <w:rsid w:val="00EC36F0"/>
    <w:rsid w:val="00ED55C0"/>
    <w:rsid w:val="00ED682B"/>
    <w:rsid w:val="00EE1AC8"/>
    <w:rsid w:val="00EE41D5"/>
    <w:rsid w:val="00EF579F"/>
    <w:rsid w:val="00F037A4"/>
    <w:rsid w:val="00F27C8F"/>
    <w:rsid w:val="00F27FEE"/>
    <w:rsid w:val="00F32749"/>
    <w:rsid w:val="00F37172"/>
    <w:rsid w:val="00F4477E"/>
    <w:rsid w:val="00F51EA1"/>
    <w:rsid w:val="00F67D8F"/>
    <w:rsid w:val="00F802BE"/>
    <w:rsid w:val="00F80E93"/>
    <w:rsid w:val="00F86024"/>
    <w:rsid w:val="00F8611A"/>
    <w:rsid w:val="00F90B4F"/>
    <w:rsid w:val="00F944C9"/>
    <w:rsid w:val="00F94E26"/>
    <w:rsid w:val="00FA4A87"/>
    <w:rsid w:val="00FA5128"/>
    <w:rsid w:val="00FB42D4"/>
    <w:rsid w:val="00FB5906"/>
    <w:rsid w:val="00FB762F"/>
    <w:rsid w:val="00FC1EF7"/>
    <w:rsid w:val="00FC2AED"/>
    <w:rsid w:val="00F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8FBCB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0.emf"/><Relationship Id="rId18" Type="http://schemas.openxmlformats.org/officeDocument/2006/relationships/chart" Target="charts/chart5.xml"/><Relationship Id="rId26" Type="http://schemas.openxmlformats.org/officeDocument/2006/relationships/hyperlink" Target="mailto:M.Wojciechowska@stat.gov.pl" TargetMode="External"/><Relationship Id="rId3" Type="http://schemas.openxmlformats.org/officeDocument/2006/relationships/customXml" Target="../customXml/item3.xml"/><Relationship Id="rId21" Type="http://schemas.openxmlformats.org/officeDocument/2006/relationships/chart" Target="charts/chart8.xm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2.emf"/><Relationship Id="rId17" Type="http://schemas.openxmlformats.org/officeDocument/2006/relationships/chart" Target="charts/chart4.xml"/><Relationship Id="rId25" Type="http://schemas.openxmlformats.org/officeDocument/2006/relationships/footer" Target="footer2.xm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32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chart" Target="charts/chart2.xml"/><Relationship Id="rId23" Type="http://schemas.openxmlformats.org/officeDocument/2006/relationships/footer" Target="footer1.xml"/><Relationship Id="rId28" Type="http://schemas.openxmlformats.org/officeDocument/2006/relationships/hyperlink" Target="mailto:obslugaprasowa@stat.gov.pl" TargetMode="External"/><Relationship Id="rId10" Type="http://schemas.openxmlformats.org/officeDocument/2006/relationships/footnotes" Target="footnotes.xml"/><Relationship Id="rId19" Type="http://schemas.openxmlformats.org/officeDocument/2006/relationships/chart" Target="charts/chart6.xml"/><Relationship Id="rId31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1.xml"/><Relationship Id="rId22" Type="http://schemas.openxmlformats.org/officeDocument/2006/relationships/header" Target="header1.xml"/><Relationship Id="rId27" Type="http://schemas.openxmlformats.org/officeDocument/2006/relationships/hyperlink" Target="mailto:rzecznik@stat.gov.pl" TargetMode="External"/><Relationship Id="rId30" Type="http://schemas.openxmlformats.org/officeDocument/2006/relationships/image" Target="media/image5.png"/><Relationship Id="rId35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Arkusz_programu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Arkusz_programu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6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7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r>
              <a:rPr lang="pl-PL" sz="90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</a:rPr>
              <a:t>Gospodarka wodna</a:t>
            </a:r>
            <a:endParaRPr lang="en-US" sz="900">
              <a:solidFill>
                <a:schemeClr val="tx1">
                  <a:lumMod val="65000"/>
                  <a:lumOff val="35000"/>
                </a:schemeClr>
              </a:solidFill>
              <a:latin typeface="Fira Sans" panose="020B0503050000020004" pitchFamily="34" charset="0"/>
              <a:ea typeface="Fira Sans" panose="020B05030500000200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6.9928258967629039E-2"/>
          <c:y val="0.17171296296296296"/>
          <c:w val="0.89951618547681544"/>
          <c:h val="0.53121490703714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Arkusz1!$A$30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008542"/>
            </a:solidFill>
            <a:ln>
              <a:noFill/>
            </a:ln>
            <a:effectLst/>
          </c:spPr>
          <c:invertIfNegative val="0"/>
          <c:cat>
            <c:strRef>
              <c:f>Arkusz1!$J$2:$L$2</c:f>
              <c:strCache>
                <c:ptCount val="3"/>
                <c:pt idx="0">
                  <c:v>Przedsiębiorstwa</c:v>
                </c:pt>
                <c:pt idx="1">
                  <c:v>Gminy</c:v>
                </c:pt>
                <c:pt idx="2">
                  <c:v>Jednostki budżetowe</c:v>
                </c:pt>
              </c:strCache>
            </c:strRef>
          </c:cat>
          <c:val>
            <c:numRef>
              <c:f>Arkusz1!$J$30:$L$30</c:f>
              <c:numCache>
                <c:formatCode>General</c:formatCode>
                <c:ptCount val="3"/>
                <c:pt idx="0">
                  <c:v>40.630000000000003</c:v>
                </c:pt>
                <c:pt idx="1">
                  <c:v>17.740000000000002</c:v>
                </c:pt>
                <c:pt idx="2">
                  <c:v>41.63</c:v>
                </c:pt>
              </c:numCache>
            </c:numRef>
          </c:val>
        </c:ser>
        <c:ser>
          <c:idx val="1"/>
          <c:order val="1"/>
          <c:tx>
            <c:strRef>
              <c:f>Arkusz1!$A$31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69BE28"/>
            </a:solidFill>
            <a:ln>
              <a:noFill/>
            </a:ln>
            <a:effectLst/>
          </c:spPr>
          <c:invertIfNegative val="0"/>
          <c:cat>
            <c:strRef>
              <c:f>Arkusz1!$J$2:$L$2</c:f>
              <c:strCache>
                <c:ptCount val="3"/>
                <c:pt idx="0">
                  <c:v>Przedsiębiorstwa</c:v>
                </c:pt>
                <c:pt idx="1">
                  <c:v>Gminy</c:v>
                </c:pt>
                <c:pt idx="2">
                  <c:v>Jednostki budżetowe</c:v>
                </c:pt>
              </c:strCache>
            </c:strRef>
          </c:cat>
          <c:val>
            <c:numRef>
              <c:f>Arkusz1!$J$31:$L$31</c:f>
              <c:numCache>
                <c:formatCode>General</c:formatCode>
                <c:ptCount val="3"/>
                <c:pt idx="0">
                  <c:v>37.4</c:v>
                </c:pt>
                <c:pt idx="1">
                  <c:v>18.8</c:v>
                </c:pt>
                <c:pt idx="2">
                  <c:v>43.8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9036576"/>
        <c:axId val="469032768"/>
      </c:barChart>
      <c:catAx>
        <c:axId val="469036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469032768"/>
        <c:crosses val="autoZero"/>
        <c:auto val="1"/>
        <c:lblAlgn val="ctr"/>
        <c:lblOffset val="100"/>
        <c:noMultiLvlLbl val="0"/>
      </c:catAx>
      <c:valAx>
        <c:axId val="469032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en-US" sz="80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Fira Sans" panose="020B0503050000020004" pitchFamily="34" charset="0"/>
                    <a:ea typeface="Fira Sans" panose="020B0503050000020004" pitchFamily="34" charset="0"/>
                  </a:rPr>
                  <a:t>%</a:t>
                </a:r>
              </a:p>
            </c:rich>
          </c:tx>
          <c:layout>
            <c:manualLayout>
              <c:xMode val="edge"/>
              <c:yMode val="edge"/>
              <c:x val="2.3006149502070316E-4"/>
              <c:y val="6.7355138300020184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Fira Sans" panose="020B0503050000020004" pitchFamily="34" charset="0"/>
                  <a:ea typeface="Fira Sans" panose="020B0503050000020004" pitchFamily="34" charset="0"/>
                  <a:cs typeface="+mn-cs"/>
                </a:defRPr>
              </a:pPr>
              <a:endParaRPr lang="pl-PL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469036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r>
              <a:rPr lang="en-US" sz="900">
                <a:latin typeface="Fira Sans" panose="020B0503050000020004" pitchFamily="34" charset="0"/>
                <a:ea typeface="Fira Sans" panose="020B0503050000020004" pitchFamily="34" charset="0"/>
              </a:rPr>
              <a:t>Ochrona środowiska</a:t>
            </a:r>
          </a:p>
        </c:rich>
      </c:tx>
      <c:layout>
        <c:manualLayout>
          <c:xMode val="edge"/>
          <c:yMode val="edge"/>
          <c:x val="0.25842210900108076"/>
          <c:y val="4.26179604261796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6.9928258967629039E-2"/>
          <c:y val="0.17171296296296296"/>
          <c:w val="0.69856973760632857"/>
          <c:h val="0.495306511343616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Arkusz1!$A$30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008542"/>
            </a:solidFill>
            <a:ln>
              <a:noFill/>
            </a:ln>
            <a:effectLst/>
          </c:spPr>
          <c:invertIfNegative val="0"/>
          <c:cat>
            <c:strRef>
              <c:f>Arkusz1!$B$2:$D$2</c:f>
              <c:strCache>
                <c:ptCount val="3"/>
                <c:pt idx="0">
                  <c:v>Przedsiębiorstwa</c:v>
                </c:pt>
                <c:pt idx="1">
                  <c:v>Gminy</c:v>
                </c:pt>
                <c:pt idx="2">
                  <c:v>Jednostki budżetowe</c:v>
                </c:pt>
              </c:strCache>
            </c:strRef>
          </c:cat>
          <c:val>
            <c:numRef>
              <c:f>Arkusz1!$B$30:$D$30</c:f>
              <c:numCache>
                <c:formatCode>General</c:formatCode>
                <c:ptCount val="3"/>
                <c:pt idx="0">
                  <c:v>71.48</c:v>
                </c:pt>
                <c:pt idx="1">
                  <c:v>20.22</c:v>
                </c:pt>
                <c:pt idx="2">
                  <c:v>8.3099999999999987</c:v>
                </c:pt>
              </c:numCache>
            </c:numRef>
          </c:val>
        </c:ser>
        <c:ser>
          <c:idx val="1"/>
          <c:order val="1"/>
          <c:tx>
            <c:strRef>
              <c:f>Arkusz1!$A$31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69BE28"/>
            </a:solidFill>
            <a:ln>
              <a:noFill/>
            </a:ln>
            <a:effectLst/>
          </c:spPr>
          <c:invertIfNegative val="0"/>
          <c:cat>
            <c:strRef>
              <c:f>Arkusz1!$B$2:$D$2</c:f>
              <c:strCache>
                <c:ptCount val="3"/>
                <c:pt idx="0">
                  <c:v>Przedsiębiorstwa</c:v>
                </c:pt>
                <c:pt idx="1">
                  <c:v>Gminy</c:v>
                </c:pt>
                <c:pt idx="2">
                  <c:v>Jednostki budżetowe</c:v>
                </c:pt>
              </c:strCache>
            </c:strRef>
          </c:cat>
          <c:val>
            <c:numRef>
              <c:f>Arkusz1!$B$31:$D$31</c:f>
              <c:numCache>
                <c:formatCode>General</c:formatCode>
                <c:ptCount val="3"/>
                <c:pt idx="0">
                  <c:v>69.8</c:v>
                </c:pt>
                <c:pt idx="1">
                  <c:v>23.799999999999997</c:v>
                </c:pt>
                <c:pt idx="2">
                  <c:v>6.4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9041472"/>
        <c:axId val="469033312"/>
      </c:barChart>
      <c:catAx>
        <c:axId val="469041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469033312"/>
        <c:crosses val="autoZero"/>
        <c:auto val="1"/>
        <c:lblAlgn val="ctr"/>
        <c:lblOffset val="100"/>
        <c:noMultiLvlLbl val="0"/>
      </c:catAx>
      <c:valAx>
        <c:axId val="469033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en-US" sz="800">
                    <a:latin typeface="Fira Sans" panose="020B0503050000020004" pitchFamily="34" charset="0"/>
                    <a:ea typeface="Fira Sans" panose="020B0503050000020004" pitchFamily="34" charset="0"/>
                  </a:rPr>
                  <a:t>%</a:t>
                </a:r>
              </a:p>
            </c:rich>
          </c:tx>
          <c:layout>
            <c:manualLayout>
              <c:xMode val="edge"/>
              <c:yMode val="edge"/>
              <c:x val="6.3259739591374617E-3"/>
              <c:y val="5.9164179819988262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Fira Sans" panose="020B0503050000020004" pitchFamily="34" charset="0"/>
                  <a:ea typeface="Fira Sans" panose="020B0503050000020004" pitchFamily="34" charset="0"/>
                  <a:cs typeface="+mn-cs"/>
                </a:defRPr>
              </a:pPr>
              <a:endParaRPr lang="pl-PL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469041472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4431299028797873"/>
          <c:y val="0.88031831637483671"/>
          <c:w val="0.31036148067698432"/>
          <c:h val="0.119681688725079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 anchor="ctr" anchorCtr="0"/>
    <a:lstStyle/>
    <a:p>
      <a:pPr>
        <a:defRPr/>
      </a:pPr>
      <a:endParaRPr lang="pl-PL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48187140570936"/>
          <c:y val="5.1020408163265307E-2"/>
          <c:w val="0.84730495548167983"/>
          <c:h val="0.619956892805617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'wykres 3'!$B$6</c:f>
              <c:strCache>
                <c:ptCount val="1"/>
                <c:pt idx="0">
                  <c:v>Ochrona środowiska</c:v>
                </c:pt>
              </c:strCache>
            </c:strRef>
          </c:tx>
          <c:spPr>
            <a:solidFill>
              <a:srgbClr val="008542"/>
            </a:solidFill>
            <a:ln>
              <a:noFill/>
            </a:ln>
            <a:effectLst/>
          </c:spPr>
          <c:invertIfNegative val="0"/>
          <c:cat>
            <c:strRef>
              <c:f>'wykres 3'!$A$7:$A$22</c:f>
              <c:strCache>
                <c:ptCount val="16"/>
                <c:pt idx="0">
                  <c:v>Śląskie              </c:v>
                </c:pt>
                <c:pt idx="1">
                  <c:v>Mazowieckie          </c:v>
                </c:pt>
                <c:pt idx="2">
                  <c:v>Zachodniopomorskie   </c:v>
                </c:pt>
                <c:pt idx="3">
                  <c:v>Wielkopolskie        </c:v>
                </c:pt>
                <c:pt idx="4">
                  <c:v>Łódzkie              </c:v>
                </c:pt>
                <c:pt idx="5">
                  <c:v>Pomorskie            </c:v>
                </c:pt>
                <c:pt idx="6">
                  <c:v>Małopolskie          </c:v>
                </c:pt>
                <c:pt idx="7">
                  <c:v>Podkarpackie         </c:v>
                </c:pt>
                <c:pt idx="8">
                  <c:v>Dolnośląskie         </c:v>
                </c:pt>
                <c:pt idx="9">
                  <c:v>Kujawsko-pomorskie   </c:v>
                </c:pt>
                <c:pt idx="10">
                  <c:v>Opolskie             </c:v>
                </c:pt>
                <c:pt idx="11">
                  <c:v>Lubelskie            </c:v>
                </c:pt>
                <c:pt idx="12">
                  <c:v>Podlaskie            </c:v>
                </c:pt>
                <c:pt idx="13">
                  <c:v>Lubuskie             </c:v>
                </c:pt>
                <c:pt idx="14">
                  <c:v>Świętokrzyskie       </c:v>
                </c:pt>
                <c:pt idx="15">
                  <c:v>Warmińsko-Mazurskie  </c:v>
                </c:pt>
              </c:strCache>
            </c:strRef>
          </c:cat>
          <c:val>
            <c:numRef>
              <c:f>'wykres 3'!$B$7:$B$22</c:f>
              <c:numCache>
                <c:formatCode>0.0;\-0.0;\-</c:formatCode>
                <c:ptCount val="16"/>
                <c:pt idx="0">
                  <c:v>1156.6788000000001</c:v>
                </c:pt>
                <c:pt idx="1">
                  <c:v>832.89139999999998</c:v>
                </c:pt>
                <c:pt idx="2">
                  <c:v>694.71540000000005</c:v>
                </c:pt>
                <c:pt idx="3">
                  <c:v>577.95619999999997</c:v>
                </c:pt>
                <c:pt idx="4">
                  <c:v>577.24080000000004</c:v>
                </c:pt>
                <c:pt idx="5">
                  <c:v>564.62239999999997</c:v>
                </c:pt>
                <c:pt idx="6">
                  <c:v>495.87720000000002</c:v>
                </c:pt>
                <c:pt idx="7">
                  <c:v>378.12829999999997</c:v>
                </c:pt>
                <c:pt idx="8">
                  <c:v>315.63830000000002</c:v>
                </c:pt>
                <c:pt idx="9">
                  <c:v>300.92759999999998</c:v>
                </c:pt>
                <c:pt idx="10">
                  <c:v>207.75210000000001</c:v>
                </c:pt>
                <c:pt idx="11">
                  <c:v>164.1951</c:v>
                </c:pt>
                <c:pt idx="12">
                  <c:v>163.1696</c:v>
                </c:pt>
                <c:pt idx="13">
                  <c:v>156.89920000000001</c:v>
                </c:pt>
                <c:pt idx="14">
                  <c:v>120.52849999999999</c:v>
                </c:pt>
                <c:pt idx="15">
                  <c:v>118.1641</c:v>
                </c:pt>
              </c:numCache>
            </c:numRef>
          </c:val>
        </c:ser>
        <c:ser>
          <c:idx val="1"/>
          <c:order val="1"/>
          <c:tx>
            <c:strRef>
              <c:f>'wykres 3'!$C$6</c:f>
              <c:strCache>
                <c:ptCount val="1"/>
                <c:pt idx="0">
                  <c:v>Gospodarka wodna</c:v>
                </c:pt>
              </c:strCache>
            </c:strRef>
          </c:tx>
          <c:spPr>
            <a:solidFill>
              <a:srgbClr val="69BE28"/>
            </a:solidFill>
            <a:ln>
              <a:noFill/>
            </a:ln>
            <a:effectLst/>
          </c:spPr>
          <c:invertIfNegative val="0"/>
          <c:cat>
            <c:strRef>
              <c:f>'wykres 3'!$A$7:$A$22</c:f>
              <c:strCache>
                <c:ptCount val="16"/>
                <c:pt idx="0">
                  <c:v>Śląskie              </c:v>
                </c:pt>
                <c:pt idx="1">
                  <c:v>Mazowieckie          </c:v>
                </c:pt>
                <c:pt idx="2">
                  <c:v>Zachodniopomorskie   </c:v>
                </c:pt>
                <c:pt idx="3">
                  <c:v>Wielkopolskie        </c:v>
                </c:pt>
                <c:pt idx="4">
                  <c:v>Łódzkie              </c:v>
                </c:pt>
                <c:pt idx="5">
                  <c:v>Pomorskie            </c:v>
                </c:pt>
                <c:pt idx="6">
                  <c:v>Małopolskie          </c:v>
                </c:pt>
                <c:pt idx="7">
                  <c:v>Podkarpackie         </c:v>
                </c:pt>
                <c:pt idx="8">
                  <c:v>Dolnośląskie         </c:v>
                </c:pt>
                <c:pt idx="9">
                  <c:v>Kujawsko-pomorskie   </c:v>
                </c:pt>
                <c:pt idx="10">
                  <c:v>Opolskie             </c:v>
                </c:pt>
                <c:pt idx="11">
                  <c:v>Lubelskie            </c:v>
                </c:pt>
                <c:pt idx="12">
                  <c:v>Podlaskie            </c:v>
                </c:pt>
                <c:pt idx="13">
                  <c:v>Lubuskie             </c:v>
                </c:pt>
                <c:pt idx="14">
                  <c:v>Świętokrzyskie       </c:v>
                </c:pt>
                <c:pt idx="15">
                  <c:v>Warmińsko-Mazurskie  </c:v>
                </c:pt>
              </c:strCache>
            </c:strRef>
          </c:cat>
          <c:val>
            <c:numRef>
              <c:f>'wykres 3'!$C$7:$C$22</c:f>
              <c:numCache>
                <c:formatCode>0.0;\-0.0;\-</c:formatCode>
                <c:ptCount val="16"/>
                <c:pt idx="0">
                  <c:v>485.3245</c:v>
                </c:pt>
                <c:pt idx="1">
                  <c:v>276.22790000000003</c:v>
                </c:pt>
                <c:pt idx="2">
                  <c:v>48.826300000000003</c:v>
                </c:pt>
                <c:pt idx="3">
                  <c:v>99.940899999999999</c:v>
                </c:pt>
                <c:pt idx="4">
                  <c:v>68.498699999999999</c:v>
                </c:pt>
                <c:pt idx="5">
                  <c:v>74.098100000000002</c:v>
                </c:pt>
                <c:pt idx="6">
                  <c:v>108.09519999999999</c:v>
                </c:pt>
                <c:pt idx="7">
                  <c:v>98.769300000000001</c:v>
                </c:pt>
                <c:pt idx="8">
                  <c:v>430.33409999999998</c:v>
                </c:pt>
                <c:pt idx="9">
                  <c:v>70.796199999999999</c:v>
                </c:pt>
                <c:pt idx="10">
                  <c:v>63.0608</c:v>
                </c:pt>
                <c:pt idx="11">
                  <c:v>68.085800000000006</c:v>
                </c:pt>
                <c:pt idx="12">
                  <c:v>52.099699999999999</c:v>
                </c:pt>
                <c:pt idx="13">
                  <c:v>50.152900000000002</c:v>
                </c:pt>
                <c:pt idx="14">
                  <c:v>41.214800000000004</c:v>
                </c:pt>
                <c:pt idx="15">
                  <c:v>30.2133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9033856"/>
        <c:axId val="469034400"/>
      </c:barChart>
      <c:catAx>
        <c:axId val="469033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469034400"/>
        <c:crosses val="autoZero"/>
        <c:auto val="1"/>
        <c:lblAlgn val="ctr"/>
        <c:lblOffset val="100"/>
        <c:noMultiLvlLbl val="0"/>
      </c:catAx>
      <c:valAx>
        <c:axId val="469034400"/>
        <c:scaling>
          <c:orientation val="minMax"/>
          <c:max val="12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800"/>
                  <a:t>m</a:t>
                </a:r>
                <a:r>
                  <a:rPr lang="pl-PL" sz="800"/>
                  <a:t>ln zł</a:t>
                </a:r>
                <a:endParaRPr lang="en-US" sz="8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469033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3754584528935916"/>
          <c:y val="0.15803726644559041"/>
          <c:w val="0.55171172353455822"/>
          <c:h val="7.81255468066491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746611303561023"/>
          <c:y val="5.0925908357840811E-2"/>
          <c:w val="0.84180382993219205"/>
          <c:h val="0.6448550105935553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Arkusz1!$C$3</c:f>
              <c:strCache>
                <c:ptCount val="1"/>
                <c:pt idx="0">
                  <c:v>Pozostałe nakłady</c:v>
                </c:pt>
              </c:strCache>
            </c:strRef>
          </c:tx>
          <c:spPr>
            <a:solidFill>
              <a:srgbClr val="BED600"/>
            </a:solidFill>
            <a:ln>
              <a:noFill/>
            </a:ln>
            <a:effectLst/>
          </c:spPr>
          <c:invertIfNegative val="0"/>
          <c:cat>
            <c:strRef>
              <c:f>Arkusz1!$B$4:$B$19</c:f>
              <c:strCache>
                <c:ptCount val="16"/>
                <c:pt idx="0">
                  <c:v>Mazowieckie          </c:v>
                </c:pt>
                <c:pt idx="1">
                  <c:v>Wielkopolskie        </c:v>
                </c:pt>
                <c:pt idx="2">
                  <c:v>Śląskie              </c:v>
                </c:pt>
                <c:pt idx="3">
                  <c:v>Dolnośląskie         </c:v>
                </c:pt>
                <c:pt idx="4">
                  <c:v>Małopolskie          </c:v>
                </c:pt>
                <c:pt idx="5">
                  <c:v>Pomorskie            </c:v>
                </c:pt>
                <c:pt idx="6">
                  <c:v>Podkarpackie         </c:v>
                </c:pt>
                <c:pt idx="7">
                  <c:v>Łódzkie              </c:v>
                </c:pt>
                <c:pt idx="8">
                  <c:v>Kujawsko-pomorskie   </c:v>
                </c:pt>
                <c:pt idx="9">
                  <c:v>Podlaskie            </c:v>
                </c:pt>
                <c:pt idx="10">
                  <c:v>Zachodniopomorskie   </c:v>
                </c:pt>
                <c:pt idx="11">
                  <c:v>Lubelskie            </c:v>
                </c:pt>
                <c:pt idx="12">
                  <c:v>Opolskie             </c:v>
                </c:pt>
                <c:pt idx="13">
                  <c:v>Warmińsko-Mazurskie  </c:v>
                </c:pt>
                <c:pt idx="14">
                  <c:v>Świętokrzyskie       </c:v>
                </c:pt>
                <c:pt idx="15">
                  <c:v>Lubuskie             </c:v>
                </c:pt>
              </c:strCache>
            </c:strRef>
          </c:cat>
          <c:val>
            <c:numRef>
              <c:f>Arkusz1!$C$4:$C$19</c:f>
              <c:numCache>
                <c:formatCode>General</c:formatCode>
                <c:ptCount val="16"/>
                <c:pt idx="0">
                  <c:v>3.4894999999999707</c:v>
                </c:pt>
                <c:pt idx="1">
                  <c:v>3.0419999999999709</c:v>
                </c:pt>
                <c:pt idx="2">
                  <c:v>5.2565999999999766</c:v>
                </c:pt>
                <c:pt idx="3">
                  <c:v>0.39</c:v>
                </c:pt>
                <c:pt idx="4">
                  <c:v>1.8814000000000015</c:v>
                </c:pt>
                <c:pt idx="5">
                  <c:v>6.2246000000000059</c:v>
                </c:pt>
                <c:pt idx="6">
                  <c:v>3.9026000000000058</c:v>
                </c:pt>
                <c:pt idx="7">
                  <c:v>2.7696000000000094</c:v>
                </c:pt>
                <c:pt idx="8">
                  <c:v>1.9715999999999914</c:v>
                </c:pt>
                <c:pt idx="9">
                  <c:v>0.85480000000000833</c:v>
                </c:pt>
                <c:pt idx="10">
                  <c:v>0.69379999999999564</c:v>
                </c:pt>
                <c:pt idx="11">
                  <c:v>0.91489999999999783</c:v>
                </c:pt>
                <c:pt idx="12">
                  <c:v>0</c:v>
                </c:pt>
                <c:pt idx="13">
                  <c:v>6.1499999999998181E-2</c:v>
                </c:pt>
                <c:pt idx="14">
                  <c:v>0.50579999999999925</c:v>
                </c:pt>
                <c:pt idx="15">
                  <c:v>1.2455000000000018</c:v>
                </c:pt>
              </c:numCache>
            </c:numRef>
          </c:val>
        </c:ser>
        <c:ser>
          <c:idx val="1"/>
          <c:order val="1"/>
          <c:tx>
            <c:strRef>
              <c:f>Arkusz1!$D$3</c:f>
              <c:strCache>
                <c:ptCount val="1"/>
                <c:pt idx="0">
                  <c:v>Kanalizacja odprowadzająca</c:v>
                </c:pt>
              </c:strCache>
            </c:strRef>
          </c:tx>
          <c:spPr>
            <a:solidFill>
              <a:srgbClr val="69BE28"/>
            </a:solidFill>
            <a:ln>
              <a:noFill/>
            </a:ln>
            <a:effectLst/>
          </c:spPr>
          <c:invertIfNegative val="0"/>
          <c:cat>
            <c:strRef>
              <c:f>Arkusz1!$B$4:$B$19</c:f>
              <c:strCache>
                <c:ptCount val="16"/>
                <c:pt idx="0">
                  <c:v>Mazowieckie          </c:v>
                </c:pt>
                <c:pt idx="1">
                  <c:v>Wielkopolskie        </c:v>
                </c:pt>
                <c:pt idx="2">
                  <c:v>Śląskie              </c:v>
                </c:pt>
                <c:pt idx="3">
                  <c:v>Dolnośląskie         </c:v>
                </c:pt>
                <c:pt idx="4">
                  <c:v>Małopolskie          </c:v>
                </c:pt>
                <c:pt idx="5">
                  <c:v>Pomorskie            </c:v>
                </c:pt>
                <c:pt idx="6">
                  <c:v>Podkarpackie         </c:v>
                </c:pt>
                <c:pt idx="7">
                  <c:v>Łódzkie              </c:v>
                </c:pt>
                <c:pt idx="8">
                  <c:v>Kujawsko-pomorskie   </c:v>
                </c:pt>
                <c:pt idx="9">
                  <c:v>Podlaskie            </c:v>
                </c:pt>
                <c:pt idx="10">
                  <c:v>Zachodniopomorskie   </c:v>
                </c:pt>
                <c:pt idx="11">
                  <c:v>Lubelskie            </c:v>
                </c:pt>
                <c:pt idx="12">
                  <c:v>Opolskie             </c:v>
                </c:pt>
                <c:pt idx="13">
                  <c:v>Warmińsko-Mazurskie  </c:v>
                </c:pt>
                <c:pt idx="14">
                  <c:v>Świętokrzyskie       </c:v>
                </c:pt>
                <c:pt idx="15">
                  <c:v>Lubuskie             </c:v>
                </c:pt>
              </c:strCache>
            </c:strRef>
          </c:cat>
          <c:val>
            <c:numRef>
              <c:f>Arkusz1!$D$4:$D$19</c:f>
              <c:numCache>
                <c:formatCode>General</c:formatCode>
                <c:ptCount val="16"/>
                <c:pt idx="0">
                  <c:v>368.76990000000001</c:v>
                </c:pt>
                <c:pt idx="1">
                  <c:v>296.05520000000001</c:v>
                </c:pt>
                <c:pt idx="2">
                  <c:v>231.44810000000001</c:v>
                </c:pt>
                <c:pt idx="3">
                  <c:v>119.8047</c:v>
                </c:pt>
                <c:pt idx="4">
                  <c:v>164.61170000000001</c:v>
                </c:pt>
                <c:pt idx="5">
                  <c:v>110.88969999999999</c:v>
                </c:pt>
                <c:pt idx="6">
                  <c:v>104.7362</c:v>
                </c:pt>
                <c:pt idx="7">
                  <c:v>124.2692</c:v>
                </c:pt>
                <c:pt idx="8">
                  <c:v>93.7196</c:v>
                </c:pt>
                <c:pt idx="9">
                  <c:v>92.958399999999997</c:v>
                </c:pt>
                <c:pt idx="10">
                  <c:v>82.357799999999997</c:v>
                </c:pt>
                <c:pt idx="11">
                  <c:v>79.461100000000002</c:v>
                </c:pt>
                <c:pt idx="12">
                  <c:v>53.365600000000001</c:v>
                </c:pt>
                <c:pt idx="13">
                  <c:v>54.7881</c:v>
                </c:pt>
                <c:pt idx="14">
                  <c:v>50.293599999999998</c:v>
                </c:pt>
                <c:pt idx="15">
                  <c:v>32.890500000000003</c:v>
                </c:pt>
              </c:numCache>
            </c:numRef>
          </c:val>
        </c:ser>
        <c:ser>
          <c:idx val="2"/>
          <c:order val="2"/>
          <c:tx>
            <c:strRef>
              <c:f>Arkusz1!$E$3</c:f>
              <c:strCache>
                <c:ptCount val="1"/>
                <c:pt idx="0">
                  <c:v>Oczyszczanie ścieków</c:v>
                </c:pt>
              </c:strCache>
            </c:strRef>
          </c:tx>
          <c:spPr>
            <a:solidFill>
              <a:srgbClr val="008542"/>
            </a:solidFill>
            <a:ln>
              <a:noFill/>
            </a:ln>
            <a:effectLst/>
          </c:spPr>
          <c:invertIfNegative val="0"/>
          <c:cat>
            <c:strRef>
              <c:f>Arkusz1!$B$4:$B$19</c:f>
              <c:strCache>
                <c:ptCount val="16"/>
                <c:pt idx="0">
                  <c:v>Mazowieckie          </c:v>
                </c:pt>
                <c:pt idx="1">
                  <c:v>Wielkopolskie        </c:v>
                </c:pt>
                <c:pt idx="2">
                  <c:v>Śląskie              </c:v>
                </c:pt>
                <c:pt idx="3">
                  <c:v>Dolnośląskie         </c:v>
                </c:pt>
                <c:pt idx="4">
                  <c:v>Małopolskie          </c:v>
                </c:pt>
                <c:pt idx="5">
                  <c:v>Pomorskie            </c:v>
                </c:pt>
                <c:pt idx="6">
                  <c:v>Podkarpackie         </c:v>
                </c:pt>
                <c:pt idx="7">
                  <c:v>Łódzkie              </c:v>
                </c:pt>
                <c:pt idx="8">
                  <c:v>Kujawsko-pomorskie   </c:v>
                </c:pt>
                <c:pt idx="9">
                  <c:v>Podlaskie            </c:v>
                </c:pt>
                <c:pt idx="10">
                  <c:v>Zachodniopomorskie   </c:v>
                </c:pt>
                <c:pt idx="11">
                  <c:v>Lubelskie            </c:v>
                </c:pt>
                <c:pt idx="12">
                  <c:v>Opolskie             </c:v>
                </c:pt>
                <c:pt idx="13">
                  <c:v>Warmińsko-Mazurskie  </c:v>
                </c:pt>
                <c:pt idx="14">
                  <c:v>Świętokrzyskie       </c:v>
                </c:pt>
                <c:pt idx="15">
                  <c:v>Lubuskie             </c:v>
                </c:pt>
              </c:strCache>
            </c:strRef>
          </c:cat>
          <c:val>
            <c:numRef>
              <c:f>Arkusz1!$E$4:$E$19</c:f>
              <c:numCache>
                <c:formatCode>General</c:formatCode>
                <c:ptCount val="16"/>
                <c:pt idx="0">
                  <c:v>81.8459</c:v>
                </c:pt>
                <c:pt idx="1">
                  <c:v>80.315899999999999</c:v>
                </c:pt>
                <c:pt idx="2">
                  <c:v>74.390100000000004</c:v>
                </c:pt>
                <c:pt idx="3">
                  <c:v>89.498699999999999</c:v>
                </c:pt>
                <c:pt idx="4">
                  <c:v>34.810600000000001</c:v>
                </c:pt>
                <c:pt idx="5">
                  <c:v>39.027300000000004</c:v>
                </c:pt>
                <c:pt idx="6">
                  <c:v>45.287199999999999</c:v>
                </c:pt>
                <c:pt idx="7">
                  <c:v>25.700299999999999</c:v>
                </c:pt>
                <c:pt idx="8">
                  <c:v>26.515999999999998</c:v>
                </c:pt>
                <c:pt idx="9">
                  <c:v>14.976600000000001</c:v>
                </c:pt>
                <c:pt idx="10">
                  <c:v>24.4771</c:v>
                </c:pt>
                <c:pt idx="11">
                  <c:v>25.718299999999999</c:v>
                </c:pt>
                <c:pt idx="12">
                  <c:v>24.153299999999998</c:v>
                </c:pt>
                <c:pt idx="13">
                  <c:v>13.214600000000001</c:v>
                </c:pt>
                <c:pt idx="14">
                  <c:v>8.2582999999999984</c:v>
                </c:pt>
                <c:pt idx="15">
                  <c:v>13.3604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69037664"/>
        <c:axId val="469045824"/>
      </c:barChart>
      <c:catAx>
        <c:axId val="469037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469045824"/>
        <c:crosses val="autoZero"/>
        <c:auto val="1"/>
        <c:lblAlgn val="ctr"/>
        <c:lblOffset val="100"/>
        <c:noMultiLvlLbl val="0"/>
      </c:catAx>
      <c:valAx>
        <c:axId val="469045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en-US" sz="800">
                    <a:latin typeface="Fira Sans" panose="020B0503050000020004" pitchFamily="34" charset="0"/>
                    <a:ea typeface="Fira Sans" panose="020B0503050000020004" pitchFamily="34" charset="0"/>
                  </a:rPr>
                  <a:t>mln zł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Fira Sans" panose="020B0503050000020004" pitchFamily="34" charset="0"/>
                  <a:ea typeface="Fira Sans" panose="020B0503050000020004" pitchFamily="34" charset="0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469037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5428101607780955"/>
          <c:y val="0.11892279090113737"/>
          <c:w val="0.31841262497449996"/>
          <c:h val="0.23437664041994752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9443419233485056E-2"/>
          <c:y val="4.7464940668824167E-2"/>
          <c:w val="0.88297305903830581"/>
          <c:h val="0.6622377070122872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Arkusz1!$B$2</c:f>
              <c:strCache>
                <c:ptCount val="1"/>
                <c:pt idx="0">
                  <c:v>Pozostałe nakłady</c:v>
                </c:pt>
              </c:strCache>
            </c:strRef>
          </c:tx>
          <c:spPr>
            <a:solidFill>
              <a:srgbClr val="BED600"/>
            </a:solidFill>
            <a:ln>
              <a:noFill/>
            </a:ln>
            <a:effectLst/>
          </c:spPr>
          <c:invertIfNegative val="0"/>
          <c:cat>
            <c:strRef>
              <c:f>Arkusz1!$A$3:$A$18</c:f>
              <c:strCache>
                <c:ptCount val="16"/>
                <c:pt idx="0">
                  <c:v>Śląskie              </c:v>
                </c:pt>
                <c:pt idx="1">
                  <c:v>Zachodniopomorskie   </c:v>
                </c:pt>
                <c:pt idx="2">
                  <c:v>Pomorskie            </c:v>
                </c:pt>
                <c:pt idx="3">
                  <c:v>Mazowieckie          </c:v>
                </c:pt>
                <c:pt idx="4">
                  <c:v>Małopolskie          </c:v>
                </c:pt>
                <c:pt idx="5">
                  <c:v>Łódzkie              </c:v>
                </c:pt>
                <c:pt idx="6">
                  <c:v>Kujawsko-pomorskie   </c:v>
                </c:pt>
                <c:pt idx="7">
                  <c:v>Opolskie             </c:v>
                </c:pt>
                <c:pt idx="8">
                  <c:v>Dolnośląskie         </c:v>
                </c:pt>
                <c:pt idx="9">
                  <c:v>Podkarpackie         </c:v>
                </c:pt>
                <c:pt idx="10">
                  <c:v>Świętokrzyskie       </c:v>
                </c:pt>
                <c:pt idx="11">
                  <c:v>Warmińsko-Mazurskie  </c:v>
                </c:pt>
                <c:pt idx="12">
                  <c:v>Wielkopolskie        </c:v>
                </c:pt>
                <c:pt idx="13">
                  <c:v>Lubuskie             </c:v>
                </c:pt>
                <c:pt idx="14">
                  <c:v>Lubelskie            </c:v>
                </c:pt>
                <c:pt idx="15">
                  <c:v>Podlaskie            </c:v>
                </c:pt>
              </c:strCache>
            </c:strRef>
          </c:cat>
          <c:val>
            <c:numRef>
              <c:f>Arkusz1!$B$3:$B$18</c:f>
              <c:numCache>
                <c:formatCode>General</c:formatCode>
                <c:ptCount val="16"/>
                <c:pt idx="0">
                  <c:v>196.31029999999998</c:v>
                </c:pt>
                <c:pt idx="1">
                  <c:v>1.0455999999999841</c:v>
                </c:pt>
                <c:pt idx="2">
                  <c:v>54.940300000000001</c:v>
                </c:pt>
                <c:pt idx="3">
                  <c:v>10.352399999999989</c:v>
                </c:pt>
                <c:pt idx="4">
                  <c:v>30.159599999999987</c:v>
                </c:pt>
                <c:pt idx="5">
                  <c:v>1.0669999999999831</c:v>
                </c:pt>
                <c:pt idx="6">
                  <c:v>0.46819999999999073</c:v>
                </c:pt>
                <c:pt idx="7">
                  <c:v>9.799999999998818E-2</c:v>
                </c:pt>
                <c:pt idx="8">
                  <c:v>0.79859999999999765</c:v>
                </c:pt>
                <c:pt idx="9">
                  <c:v>8.6999999999999994E-2</c:v>
                </c:pt>
                <c:pt idx="10">
                  <c:v>0.47260000000000307</c:v>
                </c:pt>
                <c:pt idx="11">
                  <c:v>0</c:v>
                </c:pt>
                <c:pt idx="12">
                  <c:v>1.316800000000002</c:v>
                </c:pt>
                <c:pt idx="13">
                  <c:v>9.4260000000000002</c:v>
                </c:pt>
                <c:pt idx="14">
                  <c:v>1.3516000000000021</c:v>
                </c:pt>
                <c:pt idx="15">
                  <c:v>0.93609999999999949</c:v>
                </c:pt>
              </c:numCache>
            </c:numRef>
          </c:val>
        </c:ser>
        <c:ser>
          <c:idx val="1"/>
          <c:order val="1"/>
          <c:tx>
            <c:strRef>
              <c:f>Arkusz1!$C$2</c:f>
              <c:strCache>
                <c:ptCount val="1"/>
                <c:pt idx="0">
                  <c:v>Urządzenia do redukcji zanieczyszczeń</c:v>
                </c:pt>
              </c:strCache>
            </c:strRef>
          </c:tx>
          <c:spPr>
            <a:solidFill>
              <a:srgbClr val="69BE28"/>
            </a:solidFill>
            <a:ln>
              <a:noFill/>
            </a:ln>
            <a:effectLst/>
          </c:spPr>
          <c:invertIfNegative val="0"/>
          <c:cat>
            <c:strRef>
              <c:f>Arkusz1!$A$3:$A$18</c:f>
              <c:strCache>
                <c:ptCount val="16"/>
                <c:pt idx="0">
                  <c:v>Śląskie              </c:v>
                </c:pt>
                <c:pt idx="1">
                  <c:v>Zachodniopomorskie   </c:v>
                </c:pt>
                <c:pt idx="2">
                  <c:v>Pomorskie            </c:v>
                </c:pt>
                <c:pt idx="3">
                  <c:v>Mazowieckie          </c:v>
                </c:pt>
                <c:pt idx="4">
                  <c:v>Małopolskie          </c:v>
                </c:pt>
                <c:pt idx="5">
                  <c:v>Łódzkie              </c:v>
                </c:pt>
                <c:pt idx="6">
                  <c:v>Kujawsko-pomorskie   </c:v>
                </c:pt>
                <c:pt idx="7">
                  <c:v>Opolskie             </c:v>
                </c:pt>
                <c:pt idx="8">
                  <c:v>Dolnośląskie         </c:v>
                </c:pt>
                <c:pt idx="9">
                  <c:v>Podkarpackie         </c:v>
                </c:pt>
                <c:pt idx="10">
                  <c:v>Świętokrzyskie       </c:v>
                </c:pt>
                <c:pt idx="11">
                  <c:v>Warmińsko-Mazurskie  </c:v>
                </c:pt>
                <c:pt idx="12">
                  <c:v>Wielkopolskie        </c:v>
                </c:pt>
                <c:pt idx="13">
                  <c:v>Lubuskie             </c:v>
                </c:pt>
                <c:pt idx="14">
                  <c:v>Lubelskie            </c:v>
                </c:pt>
                <c:pt idx="15">
                  <c:v>Podlaskie            </c:v>
                </c:pt>
              </c:strCache>
            </c:strRef>
          </c:cat>
          <c:val>
            <c:numRef>
              <c:f>Arkusz1!$C$3:$C$18</c:f>
              <c:numCache>
                <c:formatCode>General</c:formatCode>
                <c:ptCount val="16"/>
                <c:pt idx="0">
                  <c:v>280.83449999999999</c:v>
                </c:pt>
                <c:pt idx="1">
                  <c:v>253.4365</c:v>
                </c:pt>
                <c:pt idx="2">
                  <c:v>235.9282</c:v>
                </c:pt>
                <c:pt idx="3">
                  <c:v>186.7396</c:v>
                </c:pt>
                <c:pt idx="4">
                  <c:v>92.452500000000001</c:v>
                </c:pt>
                <c:pt idx="5">
                  <c:v>109.23710000000001</c:v>
                </c:pt>
                <c:pt idx="6">
                  <c:v>97.854600000000005</c:v>
                </c:pt>
                <c:pt idx="7">
                  <c:v>23.9984</c:v>
                </c:pt>
                <c:pt idx="8">
                  <c:v>15.119299999999999</c:v>
                </c:pt>
                <c:pt idx="9">
                  <c:v>16.047999999999998</c:v>
                </c:pt>
                <c:pt idx="10">
                  <c:v>29.445799999999998</c:v>
                </c:pt>
                <c:pt idx="11">
                  <c:v>4.6253000000000002</c:v>
                </c:pt>
                <c:pt idx="12">
                  <c:v>13.322299999999998</c:v>
                </c:pt>
                <c:pt idx="13">
                  <c:v>13.7713</c:v>
                </c:pt>
                <c:pt idx="14">
                  <c:v>1.9362999999999999</c:v>
                </c:pt>
                <c:pt idx="15">
                  <c:v>3.3179000000000003</c:v>
                </c:pt>
              </c:numCache>
            </c:numRef>
          </c:val>
        </c:ser>
        <c:ser>
          <c:idx val="2"/>
          <c:order val="2"/>
          <c:tx>
            <c:strRef>
              <c:f>Arkusz1!$D$2</c:f>
              <c:strCache>
                <c:ptCount val="1"/>
                <c:pt idx="0">
                  <c:v>Nowe techniki i technologie spalania paliw w tym modernizacja kotłowni i ciepłowni</c:v>
                </c:pt>
              </c:strCache>
            </c:strRef>
          </c:tx>
          <c:spPr>
            <a:solidFill>
              <a:srgbClr val="008542"/>
            </a:solidFill>
            <a:ln>
              <a:noFill/>
            </a:ln>
            <a:effectLst/>
          </c:spPr>
          <c:invertIfNegative val="0"/>
          <c:cat>
            <c:strRef>
              <c:f>Arkusz1!$A$3:$A$18</c:f>
              <c:strCache>
                <c:ptCount val="16"/>
                <c:pt idx="0">
                  <c:v>Śląskie              </c:v>
                </c:pt>
                <c:pt idx="1">
                  <c:v>Zachodniopomorskie   </c:v>
                </c:pt>
                <c:pt idx="2">
                  <c:v>Pomorskie            </c:v>
                </c:pt>
                <c:pt idx="3">
                  <c:v>Mazowieckie          </c:v>
                </c:pt>
                <c:pt idx="4">
                  <c:v>Małopolskie          </c:v>
                </c:pt>
                <c:pt idx="5">
                  <c:v>Łódzkie              </c:v>
                </c:pt>
                <c:pt idx="6">
                  <c:v>Kujawsko-pomorskie   </c:v>
                </c:pt>
                <c:pt idx="7">
                  <c:v>Opolskie             </c:v>
                </c:pt>
                <c:pt idx="8">
                  <c:v>Dolnośląskie         </c:v>
                </c:pt>
                <c:pt idx="9">
                  <c:v>Podkarpackie         </c:v>
                </c:pt>
                <c:pt idx="10">
                  <c:v>Świętokrzyskie       </c:v>
                </c:pt>
                <c:pt idx="11">
                  <c:v>Warmińsko-Mazurskie  </c:v>
                </c:pt>
                <c:pt idx="12">
                  <c:v>Wielkopolskie        </c:v>
                </c:pt>
                <c:pt idx="13">
                  <c:v>Lubuskie             </c:v>
                </c:pt>
                <c:pt idx="14">
                  <c:v>Lubelskie            </c:v>
                </c:pt>
                <c:pt idx="15">
                  <c:v>Podlaskie            </c:v>
                </c:pt>
              </c:strCache>
            </c:strRef>
          </c:cat>
          <c:val>
            <c:numRef>
              <c:f>Arkusz1!$D$3:$D$18</c:f>
              <c:numCache>
                <c:formatCode>General</c:formatCode>
                <c:ptCount val="16"/>
                <c:pt idx="0">
                  <c:v>42.518000000000001</c:v>
                </c:pt>
                <c:pt idx="1">
                  <c:v>81.806899999999999</c:v>
                </c:pt>
                <c:pt idx="2">
                  <c:v>6.1136999999999997</c:v>
                </c:pt>
                <c:pt idx="3">
                  <c:v>93.721899999999991</c:v>
                </c:pt>
                <c:pt idx="4">
                  <c:v>37.006999999999998</c:v>
                </c:pt>
                <c:pt idx="5">
                  <c:v>21.480799999999999</c:v>
                </c:pt>
                <c:pt idx="6">
                  <c:v>10.9732</c:v>
                </c:pt>
                <c:pt idx="7">
                  <c:v>64.567499999999995</c:v>
                </c:pt>
                <c:pt idx="8">
                  <c:v>24.7075</c:v>
                </c:pt>
                <c:pt idx="9">
                  <c:v>10.4237</c:v>
                </c:pt>
                <c:pt idx="10">
                  <c:v>9.2299999999999993E-2</c:v>
                </c:pt>
                <c:pt idx="11">
                  <c:v>20.602700000000002</c:v>
                </c:pt>
                <c:pt idx="12">
                  <c:v>6.5401000000000007</c:v>
                </c:pt>
                <c:pt idx="13">
                  <c:v>0.46600000000000003</c:v>
                </c:pt>
                <c:pt idx="14">
                  <c:v>7.5350000000000001</c:v>
                </c:pt>
                <c:pt idx="15">
                  <c:v>2.9241999999999999</c:v>
                </c:pt>
              </c:numCache>
            </c:numRef>
          </c:val>
        </c:ser>
        <c:ser>
          <c:idx val="3"/>
          <c:order val="3"/>
          <c:tx>
            <c:strRef>
              <c:f>Arkusz1!$E$2</c:f>
              <c:strCache>
                <c:ptCount val="1"/>
                <c:pt idx="0">
                  <c:v>Niekonwencjonalne źródła energii</c:v>
                </c:pt>
              </c:strCache>
            </c:strRef>
          </c:tx>
          <c:spPr>
            <a:solidFill>
              <a:srgbClr val="009AA6"/>
            </a:solidFill>
            <a:ln>
              <a:noFill/>
            </a:ln>
            <a:effectLst/>
          </c:spPr>
          <c:invertIfNegative val="0"/>
          <c:cat>
            <c:strRef>
              <c:f>Arkusz1!$A$3:$A$18</c:f>
              <c:strCache>
                <c:ptCount val="16"/>
                <c:pt idx="0">
                  <c:v>Śląskie              </c:v>
                </c:pt>
                <c:pt idx="1">
                  <c:v>Zachodniopomorskie   </c:v>
                </c:pt>
                <c:pt idx="2">
                  <c:v>Pomorskie            </c:v>
                </c:pt>
                <c:pt idx="3">
                  <c:v>Mazowieckie          </c:v>
                </c:pt>
                <c:pt idx="4">
                  <c:v>Małopolskie          </c:v>
                </c:pt>
                <c:pt idx="5">
                  <c:v>Łódzkie              </c:v>
                </c:pt>
                <c:pt idx="6">
                  <c:v>Kujawsko-pomorskie   </c:v>
                </c:pt>
                <c:pt idx="7">
                  <c:v>Opolskie             </c:v>
                </c:pt>
                <c:pt idx="8">
                  <c:v>Dolnośląskie         </c:v>
                </c:pt>
                <c:pt idx="9">
                  <c:v>Podkarpackie         </c:v>
                </c:pt>
                <c:pt idx="10">
                  <c:v>Świętokrzyskie       </c:v>
                </c:pt>
                <c:pt idx="11">
                  <c:v>Warmińsko-Mazurskie  </c:v>
                </c:pt>
                <c:pt idx="12">
                  <c:v>Wielkopolskie        </c:v>
                </c:pt>
                <c:pt idx="13">
                  <c:v>Lubuskie             </c:v>
                </c:pt>
                <c:pt idx="14">
                  <c:v>Lubelskie            </c:v>
                </c:pt>
                <c:pt idx="15">
                  <c:v>Podlaskie            </c:v>
                </c:pt>
              </c:strCache>
            </c:strRef>
          </c:cat>
          <c:val>
            <c:numRef>
              <c:f>Arkusz1!$E$3:$E$18</c:f>
              <c:numCache>
                <c:formatCode>General</c:formatCode>
                <c:ptCount val="16"/>
                <c:pt idx="0">
                  <c:v>40.659800000000004</c:v>
                </c:pt>
                <c:pt idx="1">
                  <c:v>21.438599999999997</c:v>
                </c:pt>
                <c:pt idx="2">
                  <c:v>44.972000000000001</c:v>
                </c:pt>
                <c:pt idx="3">
                  <c:v>4.6513999999999998</c:v>
                </c:pt>
                <c:pt idx="4">
                  <c:v>13.7927</c:v>
                </c:pt>
                <c:pt idx="5">
                  <c:v>2.8424</c:v>
                </c:pt>
                <c:pt idx="6">
                  <c:v>2.2586999999999997</c:v>
                </c:pt>
                <c:pt idx="7">
                  <c:v>7.8763000000000005</c:v>
                </c:pt>
                <c:pt idx="8">
                  <c:v>4.9713000000000003</c:v>
                </c:pt>
                <c:pt idx="9">
                  <c:v>15.484299999999999</c:v>
                </c:pt>
                <c:pt idx="10">
                  <c:v>6.4826000000000006</c:v>
                </c:pt>
                <c:pt idx="11">
                  <c:v>8.9815000000000005</c:v>
                </c:pt>
                <c:pt idx="12">
                  <c:v>4.7936999999999994</c:v>
                </c:pt>
                <c:pt idx="13">
                  <c:v>2.2040000000000002</c:v>
                </c:pt>
                <c:pt idx="14">
                  <c:v>11.292299999999999</c:v>
                </c:pt>
                <c:pt idx="15">
                  <c:v>4.4021000000000008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69034944"/>
        <c:axId val="469042016"/>
      </c:barChart>
      <c:catAx>
        <c:axId val="469034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469042016"/>
        <c:crosses val="autoZero"/>
        <c:auto val="1"/>
        <c:lblAlgn val="ctr"/>
        <c:lblOffset val="100"/>
        <c:noMultiLvlLbl val="0"/>
      </c:catAx>
      <c:valAx>
        <c:axId val="469042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800">
                    <a:latin typeface="Fira Sans" panose="020B0503050000020004" pitchFamily="34" charset="0"/>
                    <a:ea typeface="Fira Sans" panose="020B0503050000020004" pitchFamily="34" charset="0"/>
                  </a:rPr>
                  <a:t>mln zł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469034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1746880358869984"/>
          <c:y val="5.6299130832944945E-2"/>
          <c:w val="0.4247458894314925"/>
          <c:h val="0.40859870392307157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668759376442764"/>
          <c:y val="3.8054908946150372E-2"/>
          <c:w val="0.87566648999667174"/>
          <c:h val="0.6719714811767931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Arkusz1!$C$3</c:f>
              <c:strCache>
                <c:ptCount val="1"/>
                <c:pt idx="0">
                  <c:v>Pozostała działalność</c:v>
                </c:pt>
              </c:strCache>
            </c:strRef>
          </c:tx>
          <c:spPr>
            <a:solidFill>
              <a:srgbClr val="BED600"/>
            </a:solidFill>
          </c:spPr>
          <c:invertIfNegative val="0"/>
          <c:cat>
            <c:strRef>
              <c:f>Arkusz1!$B$4:$B$19</c:f>
              <c:strCache>
                <c:ptCount val="16"/>
                <c:pt idx="0">
                  <c:v>Łódzkie              </c:v>
                </c:pt>
                <c:pt idx="1">
                  <c:v>Śląskie              </c:v>
                </c:pt>
                <c:pt idx="2">
                  <c:v>Zachodniopomorskie   </c:v>
                </c:pt>
                <c:pt idx="3">
                  <c:v>Podkarpackie         </c:v>
                </c:pt>
                <c:pt idx="4">
                  <c:v>Wielkopolskie        </c:v>
                </c:pt>
                <c:pt idx="5">
                  <c:v>Małopolskie          </c:v>
                </c:pt>
                <c:pt idx="6">
                  <c:v>Lubuskie             </c:v>
                </c:pt>
                <c:pt idx="7">
                  <c:v>Mazowieckie          </c:v>
                </c:pt>
                <c:pt idx="8">
                  <c:v>Kujawsko-pomorskie   </c:v>
                </c:pt>
                <c:pt idx="9">
                  <c:v>Pomorskie            </c:v>
                </c:pt>
                <c:pt idx="10">
                  <c:v>Dolnośląskie         </c:v>
                </c:pt>
                <c:pt idx="11">
                  <c:v>Podlaskie            </c:v>
                </c:pt>
                <c:pt idx="12">
                  <c:v>Lubelskie            </c:v>
                </c:pt>
                <c:pt idx="13">
                  <c:v>Opolskie             </c:v>
                </c:pt>
                <c:pt idx="14">
                  <c:v>Świętokrzyskie       </c:v>
                </c:pt>
                <c:pt idx="15">
                  <c:v>Warmińsko-Mazurskie  </c:v>
                </c:pt>
              </c:strCache>
            </c:strRef>
          </c:cat>
          <c:val>
            <c:numRef>
              <c:f>Arkusz1!$C$4:$C$19</c:f>
              <c:numCache>
                <c:formatCode>0.0</c:formatCode>
                <c:ptCount val="16"/>
                <c:pt idx="0">
                  <c:v>54.567999999999998</c:v>
                </c:pt>
                <c:pt idx="1">
                  <c:v>185.7038</c:v>
                </c:pt>
                <c:pt idx="2">
                  <c:v>13.391500000000001</c:v>
                </c:pt>
                <c:pt idx="3">
                  <c:v>49.522300000000001</c:v>
                </c:pt>
                <c:pt idx="4">
                  <c:v>27.005700000000001</c:v>
                </c:pt>
                <c:pt idx="5">
                  <c:v>54.1629</c:v>
                </c:pt>
                <c:pt idx="6">
                  <c:v>36.240199999999994</c:v>
                </c:pt>
                <c:pt idx="7">
                  <c:v>20.438200000000002</c:v>
                </c:pt>
                <c:pt idx="8">
                  <c:v>46.888500000000001</c:v>
                </c:pt>
                <c:pt idx="9">
                  <c:v>47.093699999999998</c:v>
                </c:pt>
                <c:pt idx="10">
                  <c:v>27.215599999999998</c:v>
                </c:pt>
                <c:pt idx="11">
                  <c:v>32.740700000000004</c:v>
                </c:pt>
                <c:pt idx="12">
                  <c:v>26.2102</c:v>
                </c:pt>
                <c:pt idx="13">
                  <c:v>15.243799999999998</c:v>
                </c:pt>
                <c:pt idx="14">
                  <c:v>18.468799999999998</c:v>
                </c:pt>
                <c:pt idx="15">
                  <c:v>2.097</c:v>
                </c:pt>
              </c:numCache>
            </c:numRef>
          </c:val>
        </c:ser>
        <c:ser>
          <c:idx val="1"/>
          <c:order val="1"/>
          <c:tx>
            <c:strRef>
              <c:f>Arkusz1!$D$3</c:f>
              <c:strCache>
                <c:ptCount val="1"/>
                <c:pt idx="0">
                  <c:v>Gospodarka odpadami</c:v>
                </c:pt>
              </c:strCache>
            </c:strRef>
          </c:tx>
          <c:spPr>
            <a:solidFill>
              <a:srgbClr val="69BE28"/>
            </a:solidFill>
          </c:spPr>
          <c:invertIfNegative val="0"/>
          <c:cat>
            <c:strRef>
              <c:f>Arkusz1!$B$4:$B$19</c:f>
              <c:strCache>
                <c:ptCount val="16"/>
                <c:pt idx="0">
                  <c:v>Łódzkie              </c:v>
                </c:pt>
                <c:pt idx="1">
                  <c:v>Śląskie              </c:v>
                </c:pt>
                <c:pt idx="2">
                  <c:v>Zachodniopomorskie   </c:v>
                </c:pt>
                <c:pt idx="3">
                  <c:v>Podkarpackie         </c:v>
                </c:pt>
                <c:pt idx="4">
                  <c:v>Wielkopolskie        </c:v>
                </c:pt>
                <c:pt idx="5">
                  <c:v>Małopolskie          </c:v>
                </c:pt>
                <c:pt idx="6">
                  <c:v>Lubuskie             </c:v>
                </c:pt>
                <c:pt idx="7">
                  <c:v>Mazowieckie          </c:v>
                </c:pt>
                <c:pt idx="8">
                  <c:v>Kujawsko-pomorskie   </c:v>
                </c:pt>
                <c:pt idx="9">
                  <c:v>Pomorskie            </c:v>
                </c:pt>
                <c:pt idx="10">
                  <c:v>Dolnośląskie         </c:v>
                </c:pt>
                <c:pt idx="11">
                  <c:v>Podlaskie            </c:v>
                </c:pt>
                <c:pt idx="12">
                  <c:v>Lubelskie            </c:v>
                </c:pt>
                <c:pt idx="13">
                  <c:v>Opolskie             </c:v>
                </c:pt>
                <c:pt idx="14">
                  <c:v>Świętokrzyskie       </c:v>
                </c:pt>
                <c:pt idx="15">
                  <c:v>Warmińsko-Mazurskie  </c:v>
                </c:pt>
              </c:strCache>
            </c:strRef>
          </c:cat>
          <c:val>
            <c:numRef>
              <c:f>Arkusz1!$D$4:$D$19</c:f>
              <c:numCache>
                <c:formatCode>0.0</c:formatCode>
                <c:ptCount val="16"/>
                <c:pt idx="0">
                  <c:v>230.316</c:v>
                </c:pt>
                <c:pt idx="1">
                  <c:v>76.287899999999993</c:v>
                </c:pt>
                <c:pt idx="2">
                  <c:v>209.3646</c:v>
                </c:pt>
                <c:pt idx="3">
                  <c:v>111.6956</c:v>
                </c:pt>
                <c:pt idx="4">
                  <c:v>50.605699999999999</c:v>
                </c:pt>
                <c:pt idx="5">
                  <c:v>32.302399999999999</c:v>
                </c:pt>
                <c:pt idx="6">
                  <c:v>9.3397999999999985</c:v>
                </c:pt>
                <c:pt idx="7">
                  <c:v>39.311599999999999</c:v>
                </c:pt>
                <c:pt idx="8">
                  <c:v>18.411200000000001</c:v>
                </c:pt>
                <c:pt idx="9">
                  <c:v>15.6915</c:v>
                </c:pt>
                <c:pt idx="10">
                  <c:v>27.547599999999999</c:v>
                </c:pt>
                <c:pt idx="11">
                  <c:v>6.2426000000000004</c:v>
                </c:pt>
                <c:pt idx="12">
                  <c:v>8.407</c:v>
                </c:pt>
                <c:pt idx="13">
                  <c:v>15.836600000000001</c:v>
                </c:pt>
                <c:pt idx="14">
                  <c:v>5.0273000000000003</c:v>
                </c:pt>
                <c:pt idx="15">
                  <c:v>12.3186</c:v>
                </c:pt>
              </c:numCache>
            </c:numRef>
          </c:val>
        </c:ser>
        <c:ser>
          <c:idx val="2"/>
          <c:order val="2"/>
          <c:tx>
            <c:strRef>
              <c:f>Arkusz1!$E$3</c:f>
              <c:strCache>
                <c:ptCount val="1"/>
                <c:pt idx="0">
                  <c:v>Zmniejszenie hałasu i wibracji</c:v>
                </c:pt>
              </c:strCache>
            </c:strRef>
          </c:tx>
          <c:spPr>
            <a:solidFill>
              <a:srgbClr val="008542"/>
            </a:solidFill>
          </c:spPr>
          <c:invertIfNegative val="0"/>
          <c:cat>
            <c:strRef>
              <c:f>Arkusz1!$B$4:$B$19</c:f>
              <c:strCache>
                <c:ptCount val="16"/>
                <c:pt idx="0">
                  <c:v>Łódzkie              </c:v>
                </c:pt>
                <c:pt idx="1">
                  <c:v>Śląskie              </c:v>
                </c:pt>
                <c:pt idx="2">
                  <c:v>Zachodniopomorskie   </c:v>
                </c:pt>
                <c:pt idx="3">
                  <c:v>Podkarpackie         </c:v>
                </c:pt>
                <c:pt idx="4">
                  <c:v>Wielkopolskie        </c:v>
                </c:pt>
                <c:pt idx="5">
                  <c:v>Małopolskie          </c:v>
                </c:pt>
                <c:pt idx="6">
                  <c:v>Lubuskie             </c:v>
                </c:pt>
                <c:pt idx="7">
                  <c:v>Mazowieckie          </c:v>
                </c:pt>
                <c:pt idx="8">
                  <c:v>Kujawsko-pomorskie   </c:v>
                </c:pt>
                <c:pt idx="9">
                  <c:v>Pomorskie            </c:v>
                </c:pt>
                <c:pt idx="10">
                  <c:v>Dolnośląskie         </c:v>
                </c:pt>
                <c:pt idx="11">
                  <c:v>Podlaskie            </c:v>
                </c:pt>
                <c:pt idx="12">
                  <c:v>Lubelskie            </c:v>
                </c:pt>
                <c:pt idx="13">
                  <c:v>Opolskie             </c:v>
                </c:pt>
                <c:pt idx="14">
                  <c:v>Świętokrzyskie       </c:v>
                </c:pt>
                <c:pt idx="15">
                  <c:v>Warmińsko-Mazurskie  </c:v>
                </c:pt>
              </c:strCache>
            </c:strRef>
          </c:cat>
          <c:val>
            <c:numRef>
              <c:f>Arkusz1!$E$4:$E$19</c:f>
              <c:numCache>
                <c:formatCode>0.0</c:formatCode>
                <c:ptCount val="16"/>
                <c:pt idx="0">
                  <c:v>1.8357000000000001</c:v>
                </c:pt>
                <c:pt idx="1">
                  <c:v>8.8906000000000009</c:v>
                </c:pt>
                <c:pt idx="2">
                  <c:v>0</c:v>
                </c:pt>
                <c:pt idx="3">
                  <c:v>19.746299999999998</c:v>
                </c:pt>
                <c:pt idx="4">
                  <c:v>3.5371999999999999</c:v>
                </c:pt>
                <c:pt idx="5">
                  <c:v>19.485799999999998</c:v>
                </c:pt>
                <c:pt idx="6">
                  <c:v>4.4859999999999998</c:v>
                </c:pt>
                <c:pt idx="7">
                  <c:v>6.5395000000000003</c:v>
                </c:pt>
                <c:pt idx="8">
                  <c:v>0</c:v>
                </c:pt>
                <c:pt idx="9">
                  <c:v>0</c:v>
                </c:pt>
                <c:pt idx="10">
                  <c:v>1.1774</c:v>
                </c:pt>
                <c:pt idx="11">
                  <c:v>0</c:v>
                </c:pt>
                <c:pt idx="12">
                  <c:v>0.3846</c:v>
                </c:pt>
                <c:pt idx="13">
                  <c:v>0.47410000000000002</c:v>
                </c:pt>
                <c:pt idx="14">
                  <c:v>0.92449999999999999</c:v>
                </c:pt>
                <c:pt idx="15">
                  <c:v>3.0000000000000001E-3</c:v>
                </c:pt>
              </c:numCache>
            </c:numRef>
          </c:val>
        </c:ser>
        <c:ser>
          <c:idx val="3"/>
          <c:order val="3"/>
          <c:tx>
            <c:strRef>
              <c:f>Arkusz1!$F$3</c:f>
              <c:strCache>
                <c:ptCount val="1"/>
                <c:pt idx="0">
                  <c:v>Ochrona różnorodności biologicznej i krajobrazu</c:v>
                </c:pt>
              </c:strCache>
            </c:strRef>
          </c:tx>
          <c:spPr>
            <a:solidFill>
              <a:srgbClr val="009AA6"/>
            </a:solidFill>
          </c:spPr>
          <c:invertIfNegative val="0"/>
          <c:cat>
            <c:strRef>
              <c:f>Arkusz1!$B$4:$B$19</c:f>
              <c:strCache>
                <c:ptCount val="16"/>
                <c:pt idx="0">
                  <c:v>Łódzkie              </c:v>
                </c:pt>
                <c:pt idx="1">
                  <c:v>Śląskie              </c:v>
                </c:pt>
                <c:pt idx="2">
                  <c:v>Zachodniopomorskie   </c:v>
                </c:pt>
                <c:pt idx="3">
                  <c:v>Podkarpackie         </c:v>
                </c:pt>
                <c:pt idx="4">
                  <c:v>Wielkopolskie        </c:v>
                </c:pt>
                <c:pt idx="5">
                  <c:v>Małopolskie          </c:v>
                </c:pt>
                <c:pt idx="6">
                  <c:v>Lubuskie             </c:v>
                </c:pt>
                <c:pt idx="7">
                  <c:v>Mazowieckie          </c:v>
                </c:pt>
                <c:pt idx="8">
                  <c:v>Kujawsko-pomorskie   </c:v>
                </c:pt>
                <c:pt idx="9">
                  <c:v>Pomorskie            </c:v>
                </c:pt>
                <c:pt idx="10">
                  <c:v>Dolnośląskie         </c:v>
                </c:pt>
                <c:pt idx="11">
                  <c:v>Podlaskie            </c:v>
                </c:pt>
                <c:pt idx="12">
                  <c:v>Lubelskie            </c:v>
                </c:pt>
                <c:pt idx="13">
                  <c:v>Opolskie             </c:v>
                </c:pt>
                <c:pt idx="14">
                  <c:v>Świętokrzyskie       </c:v>
                </c:pt>
                <c:pt idx="15">
                  <c:v>Warmińsko-Mazurskie  </c:v>
                </c:pt>
              </c:strCache>
            </c:strRef>
          </c:cat>
          <c:val>
            <c:numRef>
              <c:f>Arkusz1!$F$4:$F$19</c:f>
              <c:numCache>
                <c:formatCode>0.0</c:formatCode>
                <c:ptCount val="16"/>
                <c:pt idx="0">
                  <c:v>2.5094000000000003</c:v>
                </c:pt>
                <c:pt idx="1">
                  <c:v>1.5646</c:v>
                </c:pt>
                <c:pt idx="2">
                  <c:v>4.0556000000000001</c:v>
                </c:pt>
                <c:pt idx="3">
                  <c:v>2.1499999999999998E-2</c:v>
                </c:pt>
                <c:pt idx="4">
                  <c:v>90.584999999999994</c:v>
                </c:pt>
                <c:pt idx="5">
                  <c:v>0.41570000000000001</c:v>
                </c:pt>
                <c:pt idx="6">
                  <c:v>33.456099999999999</c:v>
                </c:pt>
                <c:pt idx="7">
                  <c:v>2.2434000000000003</c:v>
                </c:pt>
                <c:pt idx="8">
                  <c:v>0</c:v>
                </c:pt>
                <c:pt idx="9">
                  <c:v>0.61399999999999999</c:v>
                </c:pt>
                <c:pt idx="10">
                  <c:v>0</c:v>
                </c:pt>
                <c:pt idx="11">
                  <c:v>0.246</c:v>
                </c:pt>
                <c:pt idx="12">
                  <c:v>0.2969</c:v>
                </c:pt>
                <c:pt idx="13">
                  <c:v>0.66149999999999998</c:v>
                </c:pt>
                <c:pt idx="14">
                  <c:v>0.19919999999999999</c:v>
                </c:pt>
                <c:pt idx="15">
                  <c:v>0</c:v>
                </c:pt>
              </c:numCache>
            </c:numRef>
          </c:val>
        </c:ser>
        <c:ser>
          <c:idx val="4"/>
          <c:order val="4"/>
          <c:tx>
            <c:strRef>
              <c:f>Arkusz1!$G$3</c:f>
              <c:strCache>
                <c:ptCount val="1"/>
                <c:pt idx="0">
                  <c:v>Ochrona gleb i wód podziemnych i powierzchniowych</c:v>
                </c:pt>
              </c:strCache>
            </c:strRef>
          </c:tx>
          <c:spPr>
            <a:solidFill>
              <a:srgbClr val="007AC9"/>
            </a:solidFill>
          </c:spPr>
          <c:invertIfNegative val="0"/>
          <c:cat>
            <c:strRef>
              <c:f>Arkusz1!$B$4:$B$19</c:f>
              <c:strCache>
                <c:ptCount val="16"/>
                <c:pt idx="0">
                  <c:v>Łódzkie              </c:v>
                </c:pt>
                <c:pt idx="1">
                  <c:v>Śląskie              </c:v>
                </c:pt>
                <c:pt idx="2">
                  <c:v>Zachodniopomorskie   </c:v>
                </c:pt>
                <c:pt idx="3">
                  <c:v>Podkarpackie         </c:v>
                </c:pt>
                <c:pt idx="4">
                  <c:v>Wielkopolskie        </c:v>
                </c:pt>
                <c:pt idx="5">
                  <c:v>Małopolskie          </c:v>
                </c:pt>
                <c:pt idx="6">
                  <c:v>Lubuskie             </c:v>
                </c:pt>
                <c:pt idx="7">
                  <c:v>Mazowieckie          </c:v>
                </c:pt>
                <c:pt idx="8">
                  <c:v>Kujawsko-pomorskie   </c:v>
                </c:pt>
                <c:pt idx="9">
                  <c:v>Pomorskie            </c:v>
                </c:pt>
                <c:pt idx="10">
                  <c:v>Dolnośląskie         </c:v>
                </c:pt>
                <c:pt idx="11">
                  <c:v>Podlaskie            </c:v>
                </c:pt>
                <c:pt idx="12">
                  <c:v>Lubelskie            </c:v>
                </c:pt>
                <c:pt idx="13">
                  <c:v>Opolskie             </c:v>
                </c:pt>
                <c:pt idx="14">
                  <c:v>Świętokrzyskie       </c:v>
                </c:pt>
                <c:pt idx="15">
                  <c:v>Warmińsko-Mazurskie  </c:v>
                </c:pt>
              </c:strCache>
            </c:strRef>
          </c:cat>
          <c:val>
            <c:numRef>
              <c:f>Arkusz1!$G$4:$G$19</c:f>
              <c:numCache>
                <c:formatCode>0.0</c:formatCode>
                <c:ptCount val="16"/>
                <c:pt idx="0">
                  <c:v>0.64529999999999998</c:v>
                </c:pt>
                <c:pt idx="1">
                  <c:v>5.3288000000000002</c:v>
                </c:pt>
                <c:pt idx="2">
                  <c:v>2.6474000000000002</c:v>
                </c:pt>
                <c:pt idx="3">
                  <c:v>1.1736</c:v>
                </c:pt>
                <c:pt idx="4">
                  <c:v>0.83660000000000001</c:v>
                </c:pt>
                <c:pt idx="5">
                  <c:v>13.2738</c:v>
                </c:pt>
                <c:pt idx="6">
                  <c:v>1.34E-2</c:v>
                </c:pt>
                <c:pt idx="7">
                  <c:v>7.1681000000000008</c:v>
                </c:pt>
                <c:pt idx="8">
                  <c:v>1.8660000000000001</c:v>
                </c:pt>
                <c:pt idx="9">
                  <c:v>2.0442</c:v>
                </c:pt>
                <c:pt idx="10">
                  <c:v>3.7759</c:v>
                </c:pt>
                <c:pt idx="11">
                  <c:v>3.5701999999999998</c:v>
                </c:pt>
                <c:pt idx="12">
                  <c:v>0.68689999999999996</c:v>
                </c:pt>
                <c:pt idx="13">
                  <c:v>1.4770000000000001</c:v>
                </c:pt>
                <c:pt idx="14">
                  <c:v>0.35769999999999996</c:v>
                </c:pt>
                <c:pt idx="15">
                  <c:v>1.4718</c:v>
                </c:pt>
              </c:numCache>
            </c:numRef>
          </c:val>
        </c:ser>
        <c:ser>
          <c:idx val="5"/>
          <c:order val="5"/>
          <c:tx>
            <c:strRef>
              <c:f>Arkusz1!$H$3</c:f>
              <c:strCache>
                <c:ptCount val="1"/>
                <c:pt idx="0">
                  <c:v>Działalność badawczo-rozwojowa</c:v>
                </c:pt>
              </c:strCache>
            </c:strRef>
          </c:tx>
          <c:spPr>
            <a:solidFill>
              <a:srgbClr val="001D77"/>
            </a:solidFill>
          </c:spPr>
          <c:invertIfNegative val="0"/>
          <c:cat>
            <c:strRef>
              <c:f>Arkusz1!$B$4:$B$19</c:f>
              <c:strCache>
                <c:ptCount val="16"/>
                <c:pt idx="0">
                  <c:v>Łódzkie              </c:v>
                </c:pt>
                <c:pt idx="1">
                  <c:v>Śląskie              </c:v>
                </c:pt>
                <c:pt idx="2">
                  <c:v>Zachodniopomorskie   </c:v>
                </c:pt>
                <c:pt idx="3">
                  <c:v>Podkarpackie         </c:v>
                </c:pt>
                <c:pt idx="4">
                  <c:v>Wielkopolskie        </c:v>
                </c:pt>
                <c:pt idx="5">
                  <c:v>Małopolskie          </c:v>
                </c:pt>
                <c:pt idx="6">
                  <c:v>Lubuskie             </c:v>
                </c:pt>
                <c:pt idx="7">
                  <c:v>Mazowieckie          </c:v>
                </c:pt>
                <c:pt idx="8">
                  <c:v>Kujawsko-pomorskie   </c:v>
                </c:pt>
                <c:pt idx="9">
                  <c:v>Pomorskie            </c:v>
                </c:pt>
                <c:pt idx="10">
                  <c:v>Dolnośląskie         </c:v>
                </c:pt>
                <c:pt idx="11">
                  <c:v>Podlaskie            </c:v>
                </c:pt>
                <c:pt idx="12">
                  <c:v>Lubelskie            </c:v>
                </c:pt>
                <c:pt idx="13">
                  <c:v>Opolskie             </c:v>
                </c:pt>
                <c:pt idx="14">
                  <c:v>Świętokrzyskie       </c:v>
                </c:pt>
                <c:pt idx="15">
                  <c:v>Warmińsko-Mazurskie  </c:v>
                </c:pt>
              </c:strCache>
            </c:strRef>
          </c:cat>
          <c:val>
            <c:numRef>
              <c:f>Arkusz1!$H$4:$H$19</c:f>
              <c:numCache>
                <c:formatCode>0.0</c:formatCode>
                <c:ptCount val="16"/>
                <c:pt idx="0">
                  <c:v>0</c:v>
                </c:pt>
                <c:pt idx="1">
                  <c:v>7.4856999999999996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1.1217000000000001</c:v>
                </c:pt>
                <c:pt idx="6">
                  <c:v>0</c:v>
                </c:pt>
                <c:pt idx="7">
                  <c:v>7.62</c:v>
                </c:pt>
                <c:pt idx="8">
                  <c:v>0</c:v>
                </c:pt>
                <c:pt idx="9">
                  <c:v>1.0831999999999999</c:v>
                </c:pt>
                <c:pt idx="10">
                  <c:v>0.63170000000000004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69040384"/>
        <c:axId val="469042560"/>
      </c:barChart>
      <c:catAx>
        <c:axId val="4690403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</a:defRPr>
            </a:pPr>
            <a:endParaRPr lang="pl-PL"/>
          </a:p>
        </c:txPr>
        <c:crossAx val="469042560"/>
        <c:crosses val="autoZero"/>
        <c:auto val="1"/>
        <c:lblAlgn val="ctr"/>
        <c:lblOffset val="100"/>
        <c:noMultiLvlLbl val="0"/>
      </c:catAx>
      <c:valAx>
        <c:axId val="469042560"/>
        <c:scaling>
          <c:orientation val="minMax"/>
          <c:max val="300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800" b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r>
                  <a:rPr lang="en-US" sz="800" b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Fira Sans" panose="020B0503050000020004" pitchFamily="34" charset="0"/>
                    <a:ea typeface="Fira Sans" panose="020B0503050000020004" pitchFamily="34" charset="0"/>
                  </a:rPr>
                  <a:t>mln zł</a:t>
                </a: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</a:defRPr>
            </a:pPr>
            <a:endParaRPr lang="pl-PL"/>
          </a:p>
        </c:txPr>
        <c:crossAx val="469040384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44432464722125425"/>
          <c:y val="4.3045941199796066E-2"/>
          <c:w val="0.51286401583587848"/>
          <c:h val="0.38001076304310882"/>
        </c:manualLayout>
      </c:layout>
      <c:overlay val="0"/>
      <c:spPr>
        <a:solidFill>
          <a:schemeClr val="bg1"/>
        </a:solidFill>
      </c:spPr>
      <c:txPr>
        <a:bodyPr/>
        <a:lstStyle/>
        <a:p>
          <a:pPr>
            <a:defRPr sz="800">
              <a:solidFill>
                <a:schemeClr val="tx1">
                  <a:lumMod val="65000"/>
                  <a:lumOff val="35000"/>
                </a:schemeClr>
              </a:solidFill>
              <a:latin typeface="Fira Sans" panose="020B0503050000020004" pitchFamily="34" charset="0"/>
              <a:ea typeface="Fira Sans" panose="020B05030500000200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623931073323902E-2"/>
          <c:y val="8.4388185654008435E-2"/>
          <c:w val="0.94637606892667614"/>
          <c:h val="0.666103705540744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Arkusz1!$C$15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008542"/>
            </a:solidFill>
            <a:ln>
              <a:noFill/>
            </a:ln>
            <a:effectLst/>
          </c:spPr>
          <c:invertIfNegative val="0"/>
          <c:cat>
            <c:strRef>
              <c:f>Arkusz1!$B$16:$B$21</c:f>
              <c:strCache>
                <c:ptCount val="6"/>
                <c:pt idx="0">
                  <c:v>Ujęcia i doprowadzenia wody</c:v>
                </c:pt>
                <c:pt idx="1">
                  <c:v>Zbiorniki i stopnie wodne</c:v>
                </c:pt>
                <c:pt idx="2">
                  <c:v>Obwałowania przeciwpowodziowe</c:v>
                </c:pt>
                <c:pt idx="3">
                  <c:v>Budowa i modernizacja stacji uzdatniania wody</c:v>
                </c:pt>
                <c:pt idx="4">
                  <c:v>Regulacja i zabudowa rzek i potoków górskich</c:v>
                </c:pt>
                <c:pt idx="5">
                  <c:v>Stacje pomp na zawalach i obszarach depresyjnych</c:v>
                </c:pt>
              </c:strCache>
            </c:strRef>
          </c:cat>
          <c:val>
            <c:numRef>
              <c:f>Arkusz1!$C$16:$C$21</c:f>
              <c:numCache>
                <c:formatCode>General</c:formatCode>
                <c:ptCount val="6"/>
                <c:pt idx="0">
                  <c:v>48</c:v>
                </c:pt>
                <c:pt idx="1">
                  <c:v>24.7</c:v>
                </c:pt>
                <c:pt idx="2">
                  <c:v>12.8</c:v>
                </c:pt>
                <c:pt idx="3">
                  <c:v>11.6</c:v>
                </c:pt>
                <c:pt idx="4">
                  <c:v>2.8</c:v>
                </c:pt>
                <c:pt idx="5">
                  <c:v>0.1</c:v>
                </c:pt>
              </c:numCache>
            </c:numRef>
          </c:val>
        </c:ser>
        <c:ser>
          <c:idx val="1"/>
          <c:order val="1"/>
          <c:tx>
            <c:strRef>
              <c:f>Arkusz1!$D$15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69BE28"/>
            </a:solidFill>
            <a:ln>
              <a:noFill/>
            </a:ln>
            <a:effectLst/>
          </c:spPr>
          <c:invertIfNegative val="0"/>
          <c:cat>
            <c:strRef>
              <c:f>Arkusz1!$B$16:$B$21</c:f>
              <c:strCache>
                <c:ptCount val="6"/>
                <c:pt idx="0">
                  <c:v>Ujęcia i doprowadzenia wody</c:v>
                </c:pt>
                <c:pt idx="1">
                  <c:v>Zbiorniki i stopnie wodne</c:v>
                </c:pt>
                <c:pt idx="2">
                  <c:v>Obwałowania przeciwpowodziowe</c:v>
                </c:pt>
                <c:pt idx="3">
                  <c:v>Budowa i modernizacja stacji uzdatniania wody</c:v>
                </c:pt>
                <c:pt idx="4">
                  <c:v>Regulacja i zabudowa rzek i potoków górskich</c:v>
                </c:pt>
                <c:pt idx="5">
                  <c:v>Stacje pomp na zawalach i obszarach depresyjnych</c:v>
                </c:pt>
              </c:strCache>
            </c:strRef>
          </c:cat>
          <c:val>
            <c:numRef>
              <c:f>Arkusz1!$D$16:$D$21</c:f>
              <c:numCache>
                <c:formatCode>General</c:formatCode>
                <c:ptCount val="6"/>
                <c:pt idx="0">
                  <c:v>45.9</c:v>
                </c:pt>
                <c:pt idx="1">
                  <c:v>25.7</c:v>
                </c:pt>
                <c:pt idx="2">
                  <c:v>11.8</c:v>
                </c:pt>
                <c:pt idx="3">
                  <c:v>11.3</c:v>
                </c:pt>
                <c:pt idx="4">
                  <c:v>4.7</c:v>
                </c:pt>
                <c:pt idx="5">
                  <c:v>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9035488"/>
        <c:axId val="469043104"/>
      </c:barChart>
      <c:catAx>
        <c:axId val="469035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t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469043104"/>
        <c:crosses val="autoZero"/>
        <c:auto val="1"/>
        <c:lblAlgn val="ctr"/>
        <c:lblOffset val="100"/>
        <c:noMultiLvlLbl val="0"/>
      </c:catAx>
      <c:valAx>
        <c:axId val="469043104"/>
        <c:scaling>
          <c:orientation val="minMax"/>
          <c:max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pl-PL" sz="800">
                    <a:latin typeface="Fira Sans" panose="020B0503050000020004" pitchFamily="34" charset="0"/>
                    <a:ea typeface="Fira Sans" panose="020B0503050000020004" pitchFamily="34" charset="0"/>
                  </a:rPr>
                  <a:t>%</a:t>
                </a:r>
              </a:p>
            </c:rich>
          </c:tx>
          <c:layout>
            <c:manualLayout>
              <c:xMode val="edge"/>
              <c:yMode val="edge"/>
              <c:x val="0"/>
              <c:y val="5.6461446256225853E-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Fira Sans" panose="020B0503050000020004" pitchFamily="34" charset="0"/>
                  <a:ea typeface="Fira Sans" panose="020B0503050000020004" pitchFamily="34" charset="0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469035488"/>
        <c:crosses val="autoZero"/>
        <c:crossBetween val="between"/>
        <c:majorUnit val="10"/>
        <c:minorUnit val="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8348789517710431"/>
          <c:y val="0.12445596199209276"/>
          <c:w val="0.14540780022430258"/>
          <c:h val="6.541745572942622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458119150200565"/>
          <c:y val="5.0926024276290977E-2"/>
          <c:w val="0.88018905682766668"/>
          <c:h val="0.6639844213021759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'[Wykres w programie Microsoft Word]Arkusz1'!$B$2</c:f>
              <c:strCache>
                <c:ptCount val="1"/>
                <c:pt idx="0">
                  <c:v>Pozostałe</c:v>
                </c:pt>
              </c:strCache>
            </c:strRef>
          </c:tx>
          <c:spPr>
            <a:solidFill>
              <a:srgbClr val="BED600"/>
            </a:solidFill>
            <a:ln>
              <a:noFill/>
            </a:ln>
            <a:effectLst/>
          </c:spPr>
          <c:invertIfNegative val="0"/>
          <c:cat>
            <c:strRef>
              <c:f>'[Wykres w programie Microsoft Word]Arkusz1'!$A$3:$A$18</c:f>
              <c:strCache>
                <c:ptCount val="16"/>
                <c:pt idx="0">
                  <c:v>Śląskie              </c:v>
                </c:pt>
                <c:pt idx="1">
                  <c:v>Dolnośląskie         </c:v>
                </c:pt>
                <c:pt idx="2">
                  <c:v>Mazowieckie          </c:v>
                </c:pt>
                <c:pt idx="3">
                  <c:v>Małopolskie          </c:v>
                </c:pt>
                <c:pt idx="4">
                  <c:v>Wielkopolskie        </c:v>
                </c:pt>
                <c:pt idx="5">
                  <c:v>Podkarpackie         </c:v>
                </c:pt>
                <c:pt idx="6">
                  <c:v>Pomorskie            </c:v>
                </c:pt>
                <c:pt idx="7">
                  <c:v>Kujawsko-pomorskie   </c:v>
                </c:pt>
                <c:pt idx="8">
                  <c:v>Łódzkie              </c:v>
                </c:pt>
                <c:pt idx="9">
                  <c:v>Lubelskie            </c:v>
                </c:pt>
                <c:pt idx="10">
                  <c:v>Opolskie             </c:v>
                </c:pt>
                <c:pt idx="11">
                  <c:v>Podlaskie            </c:v>
                </c:pt>
                <c:pt idx="12">
                  <c:v>Lubuskie             </c:v>
                </c:pt>
                <c:pt idx="13">
                  <c:v>Zachodniopomorskie   </c:v>
                </c:pt>
                <c:pt idx="14">
                  <c:v>Świętokrzyskie       </c:v>
                </c:pt>
                <c:pt idx="15">
                  <c:v>Warmińsko-Mazurskie  </c:v>
                </c:pt>
              </c:strCache>
            </c:strRef>
          </c:cat>
          <c:val>
            <c:numRef>
              <c:f>'[Wykres w programie Microsoft Word]Arkusz1'!$B$3:$B$18</c:f>
              <c:numCache>
                <c:formatCode>General</c:formatCode>
                <c:ptCount val="16"/>
                <c:pt idx="0">
                  <c:v>9.2607999999999997</c:v>
                </c:pt>
                <c:pt idx="1">
                  <c:v>75.747899999999987</c:v>
                </c:pt>
                <c:pt idx="2">
                  <c:v>1.6784000000000001</c:v>
                </c:pt>
                <c:pt idx="3">
                  <c:v>7.2371999999999996</c:v>
                </c:pt>
                <c:pt idx="4">
                  <c:v>1.3740000000000001</c:v>
                </c:pt>
                <c:pt idx="5">
                  <c:v>0.68379999999999996</c:v>
                </c:pt>
                <c:pt idx="6">
                  <c:v>0.49</c:v>
                </c:pt>
                <c:pt idx="7">
                  <c:v>0</c:v>
                </c:pt>
                <c:pt idx="8">
                  <c:v>0.15730000000000002</c:v>
                </c:pt>
                <c:pt idx="9">
                  <c:v>1.4800000000000001E-2</c:v>
                </c:pt>
                <c:pt idx="10">
                  <c:v>1.6197999999999999</c:v>
                </c:pt>
                <c:pt idx="11">
                  <c:v>2.3456999999999999</c:v>
                </c:pt>
                <c:pt idx="12">
                  <c:v>0.62649999999999995</c:v>
                </c:pt>
                <c:pt idx="13">
                  <c:v>2.3E-2</c:v>
                </c:pt>
                <c:pt idx="14">
                  <c:v>7.8354999999999997</c:v>
                </c:pt>
                <c:pt idx="15">
                  <c:v>0.50700000000000001</c:v>
                </c:pt>
              </c:numCache>
            </c:numRef>
          </c:val>
        </c:ser>
        <c:ser>
          <c:idx val="1"/>
          <c:order val="1"/>
          <c:tx>
            <c:strRef>
              <c:f>'[Wykres w programie Microsoft Word]Arkusz1'!$C$2</c:f>
              <c:strCache>
                <c:ptCount val="1"/>
                <c:pt idx="0">
                  <c:v>Ujęcia i doprowadzenia wody                                                                                                                                               </c:v>
                </c:pt>
              </c:strCache>
            </c:strRef>
          </c:tx>
          <c:spPr>
            <a:solidFill>
              <a:srgbClr val="69BE28"/>
            </a:solidFill>
            <a:ln>
              <a:noFill/>
            </a:ln>
            <a:effectLst/>
          </c:spPr>
          <c:invertIfNegative val="0"/>
          <c:cat>
            <c:strRef>
              <c:f>'[Wykres w programie Microsoft Word]Arkusz1'!$A$3:$A$18</c:f>
              <c:strCache>
                <c:ptCount val="16"/>
                <c:pt idx="0">
                  <c:v>Śląskie              </c:v>
                </c:pt>
                <c:pt idx="1">
                  <c:v>Dolnośląskie         </c:v>
                </c:pt>
                <c:pt idx="2">
                  <c:v>Mazowieckie          </c:v>
                </c:pt>
                <c:pt idx="3">
                  <c:v>Małopolskie          </c:v>
                </c:pt>
                <c:pt idx="4">
                  <c:v>Wielkopolskie        </c:v>
                </c:pt>
                <c:pt idx="5">
                  <c:v>Podkarpackie         </c:v>
                </c:pt>
                <c:pt idx="6">
                  <c:v>Pomorskie            </c:v>
                </c:pt>
                <c:pt idx="7">
                  <c:v>Kujawsko-pomorskie   </c:v>
                </c:pt>
                <c:pt idx="8">
                  <c:v>Łódzkie              </c:v>
                </c:pt>
                <c:pt idx="9">
                  <c:v>Lubelskie            </c:v>
                </c:pt>
                <c:pt idx="10">
                  <c:v>Opolskie             </c:v>
                </c:pt>
                <c:pt idx="11">
                  <c:v>Podlaskie            </c:v>
                </c:pt>
                <c:pt idx="12">
                  <c:v>Lubuskie             </c:v>
                </c:pt>
                <c:pt idx="13">
                  <c:v>Zachodniopomorskie   </c:v>
                </c:pt>
                <c:pt idx="14">
                  <c:v>Świętokrzyskie       </c:v>
                </c:pt>
                <c:pt idx="15">
                  <c:v>Warmińsko-Mazurskie  </c:v>
                </c:pt>
              </c:strCache>
            </c:strRef>
          </c:cat>
          <c:val>
            <c:numRef>
              <c:f>'[Wykres w programie Microsoft Word]Arkusz1'!$C$3:$C$18</c:f>
              <c:numCache>
                <c:formatCode>General</c:formatCode>
                <c:ptCount val="16"/>
                <c:pt idx="0">
                  <c:v>155.98670000000001</c:v>
                </c:pt>
                <c:pt idx="1">
                  <c:v>61.960300000000004</c:v>
                </c:pt>
                <c:pt idx="2">
                  <c:v>176.4023</c:v>
                </c:pt>
                <c:pt idx="3">
                  <c:v>81.910200000000003</c:v>
                </c:pt>
                <c:pt idx="4">
                  <c:v>75.736999999999995</c:v>
                </c:pt>
                <c:pt idx="5">
                  <c:v>51.648499999999999</c:v>
                </c:pt>
                <c:pt idx="6">
                  <c:v>47.9114</c:v>
                </c:pt>
                <c:pt idx="7">
                  <c:v>42.714700000000001</c:v>
                </c:pt>
                <c:pt idx="8">
                  <c:v>43.354599999999998</c:v>
                </c:pt>
                <c:pt idx="9">
                  <c:v>34.122800000000005</c:v>
                </c:pt>
                <c:pt idx="10">
                  <c:v>24.768999999999998</c:v>
                </c:pt>
                <c:pt idx="11">
                  <c:v>46.891400000000004</c:v>
                </c:pt>
                <c:pt idx="12">
                  <c:v>21.722099999999998</c:v>
                </c:pt>
                <c:pt idx="13">
                  <c:v>41.733400000000003</c:v>
                </c:pt>
                <c:pt idx="14">
                  <c:v>18.237099999999998</c:v>
                </c:pt>
                <c:pt idx="15">
                  <c:v>23.414400000000001</c:v>
                </c:pt>
              </c:numCache>
            </c:numRef>
          </c:val>
        </c:ser>
        <c:ser>
          <c:idx val="2"/>
          <c:order val="2"/>
          <c:tx>
            <c:strRef>
              <c:f>'[Wykres w programie Microsoft Word]Arkusz1'!$D$2</c:f>
              <c:strCache>
                <c:ptCount val="1"/>
                <c:pt idx="0">
                  <c:v>Zbiorniki i stopnie wodne                                                                                                                                                 </c:v>
                </c:pt>
              </c:strCache>
            </c:strRef>
          </c:tx>
          <c:spPr>
            <a:solidFill>
              <a:srgbClr val="008542"/>
            </a:solidFill>
            <a:ln>
              <a:noFill/>
            </a:ln>
            <a:effectLst/>
          </c:spPr>
          <c:invertIfNegative val="0"/>
          <c:cat>
            <c:strRef>
              <c:f>'[Wykres w programie Microsoft Word]Arkusz1'!$A$3:$A$18</c:f>
              <c:strCache>
                <c:ptCount val="16"/>
                <c:pt idx="0">
                  <c:v>Śląskie              </c:v>
                </c:pt>
                <c:pt idx="1">
                  <c:v>Dolnośląskie         </c:v>
                </c:pt>
                <c:pt idx="2">
                  <c:v>Mazowieckie          </c:v>
                </c:pt>
                <c:pt idx="3">
                  <c:v>Małopolskie          </c:v>
                </c:pt>
                <c:pt idx="4">
                  <c:v>Wielkopolskie        </c:v>
                </c:pt>
                <c:pt idx="5">
                  <c:v>Podkarpackie         </c:v>
                </c:pt>
                <c:pt idx="6">
                  <c:v>Pomorskie            </c:v>
                </c:pt>
                <c:pt idx="7">
                  <c:v>Kujawsko-pomorskie   </c:v>
                </c:pt>
                <c:pt idx="8">
                  <c:v>Łódzkie              </c:v>
                </c:pt>
                <c:pt idx="9">
                  <c:v>Lubelskie            </c:v>
                </c:pt>
                <c:pt idx="10">
                  <c:v>Opolskie             </c:v>
                </c:pt>
                <c:pt idx="11">
                  <c:v>Podlaskie            </c:v>
                </c:pt>
                <c:pt idx="12">
                  <c:v>Lubuskie             </c:v>
                </c:pt>
                <c:pt idx="13">
                  <c:v>Zachodniopomorskie   </c:v>
                </c:pt>
                <c:pt idx="14">
                  <c:v>Świętokrzyskie       </c:v>
                </c:pt>
                <c:pt idx="15">
                  <c:v>Warmińsko-Mazurskie  </c:v>
                </c:pt>
              </c:strCache>
            </c:strRef>
          </c:cat>
          <c:val>
            <c:numRef>
              <c:f>'[Wykres w programie Microsoft Word]Arkusz1'!$D$3:$D$18</c:f>
              <c:numCache>
                <c:formatCode>General</c:formatCode>
                <c:ptCount val="16"/>
                <c:pt idx="0">
                  <c:v>282.58190000000002</c:v>
                </c:pt>
                <c:pt idx="1">
                  <c:v>184.93</c:v>
                </c:pt>
                <c:pt idx="2">
                  <c:v>9.6166</c:v>
                </c:pt>
                <c:pt idx="3">
                  <c:v>11.255000000000001</c:v>
                </c:pt>
                <c:pt idx="4">
                  <c:v>1.8095000000000001</c:v>
                </c:pt>
                <c:pt idx="5">
                  <c:v>0.3997</c:v>
                </c:pt>
                <c:pt idx="6">
                  <c:v>11.2319</c:v>
                </c:pt>
                <c:pt idx="7">
                  <c:v>0</c:v>
                </c:pt>
                <c:pt idx="8">
                  <c:v>0</c:v>
                </c:pt>
                <c:pt idx="9">
                  <c:v>0.24030000000000001</c:v>
                </c:pt>
                <c:pt idx="10">
                  <c:v>29.1676</c:v>
                </c:pt>
                <c:pt idx="11">
                  <c:v>0.114</c:v>
                </c:pt>
                <c:pt idx="12">
                  <c:v>0</c:v>
                </c:pt>
                <c:pt idx="13">
                  <c:v>6.6900000000000001E-2</c:v>
                </c:pt>
                <c:pt idx="14">
                  <c:v>0.19900000000000001</c:v>
                </c:pt>
                <c:pt idx="15">
                  <c:v>0</c:v>
                </c:pt>
              </c:numCache>
            </c:numRef>
          </c:val>
        </c:ser>
        <c:ser>
          <c:idx val="3"/>
          <c:order val="3"/>
          <c:tx>
            <c:strRef>
              <c:f>'[Wykres w programie Microsoft Word]Arkusz1'!$E$2</c:f>
              <c:strCache>
                <c:ptCount val="1"/>
                <c:pt idx="0">
                  <c:v>Budowa i modernizacja stacji uzdatniania wody                                                                                                                             </c:v>
                </c:pt>
              </c:strCache>
            </c:strRef>
          </c:tx>
          <c:spPr>
            <a:solidFill>
              <a:srgbClr val="009AA6"/>
            </a:solidFill>
            <a:ln>
              <a:noFill/>
            </a:ln>
            <a:effectLst/>
          </c:spPr>
          <c:invertIfNegative val="0"/>
          <c:cat>
            <c:strRef>
              <c:f>'[Wykres w programie Microsoft Word]Arkusz1'!$A$3:$A$18</c:f>
              <c:strCache>
                <c:ptCount val="16"/>
                <c:pt idx="0">
                  <c:v>Śląskie              </c:v>
                </c:pt>
                <c:pt idx="1">
                  <c:v>Dolnośląskie         </c:v>
                </c:pt>
                <c:pt idx="2">
                  <c:v>Mazowieckie          </c:v>
                </c:pt>
                <c:pt idx="3">
                  <c:v>Małopolskie          </c:v>
                </c:pt>
                <c:pt idx="4">
                  <c:v>Wielkopolskie        </c:v>
                </c:pt>
                <c:pt idx="5">
                  <c:v>Podkarpackie         </c:v>
                </c:pt>
                <c:pt idx="6">
                  <c:v>Pomorskie            </c:v>
                </c:pt>
                <c:pt idx="7">
                  <c:v>Kujawsko-pomorskie   </c:v>
                </c:pt>
                <c:pt idx="8">
                  <c:v>Łódzkie              </c:v>
                </c:pt>
                <c:pt idx="9">
                  <c:v>Lubelskie            </c:v>
                </c:pt>
                <c:pt idx="10">
                  <c:v>Opolskie             </c:v>
                </c:pt>
                <c:pt idx="11">
                  <c:v>Podlaskie            </c:v>
                </c:pt>
                <c:pt idx="12">
                  <c:v>Lubuskie             </c:v>
                </c:pt>
                <c:pt idx="13">
                  <c:v>Zachodniopomorskie   </c:v>
                </c:pt>
                <c:pt idx="14">
                  <c:v>Świętokrzyskie       </c:v>
                </c:pt>
                <c:pt idx="15">
                  <c:v>Warmińsko-Mazurskie  </c:v>
                </c:pt>
              </c:strCache>
            </c:strRef>
          </c:cat>
          <c:val>
            <c:numRef>
              <c:f>'[Wykres w programie Microsoft Word]Arkusz1'!$E$3:$E$18</c:f>
              <c:numCache>
                <c:formatCode>General</c:formatCode>
                <c:ptCount val="16"/>
                <c:pt idx="0">
                  <c:v>31.555</c:v>
                </c:pt>
                <c:pt idx="1">
                  <c:v>6.1828000000000003</c:v>
                </c:pt>
                <c:pt idx="2">
                  <c:v>78.630300000000005</c:v>
                </c:pt>
                <c:pt idx="3">
                  <c:v>3.6061000000000001</c:v>
                </c:pt>
                <c:pt idx="4">
                  <c:v>21.020400000000002</c:v>
                </c:pt>
                <c:pt idx="5">
                  <c:v>9.299100000000001</c:v>
                </c:pt>
                <c:pt idx="6">
                  <c:v>10.690799999999999</c:v>
                </c:pt>
                <c:pt idx="7">
                  <c:v>5.4321000000000002</c:v>
                </c:pt>
                <c:pt idx="8">
                  <c:v>24.986099999999997</c:v>
                </c:pt>
                <c:pt idx="9">
                  <c:v>20.024900000000002</c:v>
                </c:pt>
                <c:pt idx="10">
                  <c:v>2.2291999999999996</c:v>
                </c:pt>
                <c:pt idx="11">
                  <c:v>2.7485999999999997</c:v>
                </c:pt>
                <c:pt idx="12">
                  <c:v>3.5213000000000001</c:v>
                </c:pt>
                <c:pt idx="13">
                  <c:v>5.0365000000000002</c:v>
                </c:pt>
                <c:pt idx="14">
                  <c:v>1.7649999999999999</c:v>
                </c:pt>
                <c:pt idx="15">
                  <c:v>6.2919</c:v>
                </c:pt>
              </c:numCache>
            </c:numRef>
          </c:val>
        </c:ser>
        <c:ser>
          <c:idx val="4"/>
          <c:order val="4"/>
          <c:tx>
            <c:strRef>
              <c:f>'[Wykres w programie Microsoft Word]Arkusz1'!$F$2</c:f>
              <c:strCache>
                <c:ptCount val="1"/>
                <c:pt idx="0">
                  <c:v>Obwałowania przeciwpowodziowe                                                                                                                                             </c:v>
                </c:pt>
              </c:strCache>
            </c:strRef>
          </c:tx>
          <c:spPr>
            <a:solidFill>
              <a:srgbClr val="007AC9"/>
            </a:solidFill>
            <a:ln>
              <a:noFill/>
            </a:ln>
            <a:effectLst/>
          </c:spPr>
          <c:invertIfNegative val="0"/>
          <c:cat>
            <c:strRef>
              <c:f>'[Wykres w programie Microsoft Word]Arkusz1'!$A$3:$A$18</c:f>
              <c:strCache>
                <c:ptCount val="16"/>
                <c:pt idx="0">
                  <c:v>Śląskie              </c:v>
                </c:pt>
                <c:pt idx="1">
                  <c:v>Dolnośląskie         </c:v>
                </c:pt>
                <c:pt idx="2">
                  <c:v>Mazowieckie          </c:v>
                </c:pt>
                <c:pt idx="3">
                  <c:v>Małopolskie          </c:v>
                </c:pt>
                <c:pt idx="4">
                  <c:v>Wielkopolskie        </c:v>
                </c:pt>
                <c:pt idx="5">
                  <c:v>Podkarpackie         </c:v>
                </c:pt>
                <c:pt idx="6">
                  <c:v>Pomorskie            </c:v>
                </c:pt>
                <c:pt idx="7">
                  <c:v>Kujawsko-pomorskie   </c:v>
                </c:pt>
                <c:pt idx="8">
                  <c:v>Łódzkie              </c:v>
                </c:pt>
                <c:pt idx="9">
                  <c:v>Lubelskie            </c:v>
                </c:pt>
                <c:pt idx="10">
                  <c:v>Opolskie             </c:v>
                </c:pt>
                <c:pt idx="11">
                  <c:v>Podlaskie            </c:v>
                </c:pt>
                <c:pt idx="12">
                  <c:v>Lubuskie             </c:v>
                </c:pt>
                <c:pt idx="13">
                  <c:v>Zachodniopomorskie   </c:v>
                </c:pt>
                <c:pt idx="14">
                  <c:v>Świętokrzyskie       </c:v>
                </c:pt>
                <c:pt idx="15">
                  <c:v>Warmińsko-Mazurskie  </c:v>
                </c:pt>
              </c:strCache>
            </c:strRef>
          </c:cat>
          <c:val>
            <c:numRef>
              <c:f>'[Wykres w programie Microsoft Word]Arkusz1'!$F$3:$F$18</c:f>
              <c:numCache>
                <c:formatCode>General</c:formatCode>
                <c:ptCount val="16"/>
                <c:pt idx="0">
                  <c:v>5.9401000000000002</c:v>
                </c:pt>
                <c:pt idx="1">
                  <c:v>101.51310000000001</c:v>
                </c:pt>
                <c:pt idx="2">
                  <c:v>9.9002999999999997</c:v>
                </c:pt>
                <c:pt idx="3">
                  <c:v>4.0866999999999996</c:v>
                </c:pt>
                <c:pt idx="4">
                  <c:v>0</c:v>
                </c:pt>
                <c:pt idx="5">
                  <c:v>36.738199999999999</c:v>
                </c:pt>
                <c:pt idx="6">
                  <c:v>3.774</c:v>
                </c:pt>
                <c:pt idx="7">
                  <c:v>22.6494</c:v>
                </c:pt>
                <c:pt idx="8">
                  <c:v>6.9999999999999999E-4</c:v>
                </c:pt>
                <c:pt idx="9">
                  <c:v>13.683</c:v>
                </c:pt>
                <c:pt idx="10">
                  <c:v>5.2751999999999999</c:v>
                </c:pt>
                <c:pt idx="11">
                  <c:v>0</c:v>
                </c:pt>
                <c:pt idx="12">
                  <c:v>24.283000000000001</c:v>
                </c:pt>
                <c:pt idx="13">
                  <c:v>1.9664999999999999</c:v>
                </c:pt>
                <c:pt idx="14">
                  <c:v>13.1782</c:v>
                </c:pt>
                <c:pt idx="1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69044192"/>
        <c:axId val="469044736"/>
      </c:barChart>
      <c:catAx>
        <c:axId val="469044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469044736"/>
        <c:crosses val="autoZero"/>
        <c:auto val="1"/>
        <c:lblAlgn val="ctr"/>
        <c:lblOffset val="100"/>
        <c:noMultiLvlLbl val="0"/>
      </c:catAx>
      <c:valAx>
        <c:axId val="469044736"/>
        <c:scaling>
          <c:orientation val="minMax"/>
          <c:max val="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en-US" sz="80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Fira Sans" panose="020B0503050000020004" pitchFamily="34" charset="0"/>
                    <a:ea typeface="Fira Sans" panose="020B0503050000020004" pitchFamily="34" charset="0"/>
                  </a:rPr>
                  <a:t>mln zł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Fira Sans" panose="020B0503050000020004" pitchFamily="34" charset="0"/>
                  <a:ea typeface="Fira Sans" panose="020B0503050000020004" pitchFamily="34" charset="0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469044192"/>
        <c:crosses val="autoZero"/>
        <c:crossBetween val="between"/>
        <c:majorUnit val="5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323244688753529"/>
          <c:y val="9.7798191892680075E-2"/>
          <c:w val="0.46559223493289753"/>
          <c:h val="0.32894235727865395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773995C1A8BE469F1A00343CCDDA33" ma:contentTypeVersion="7" ma:contentTypeDescription="Utwórz nowy dokument." ma:contentTypeScope="" ma:versionID="7871ddd2aee2a5f69ad733bb5125d043">
  <xsd:schema xmlns:xsd="http://www.w3.org/2001/XMLSchema" xmlns:xs="http://www.w3.org/2001/XMLSchema" xmlns:p="http://schemas.microsoft.com/office/2006/metadata/properties" xmlns:ns2="http://schemas.microsoft.com/sharepoint/v3/fields" xmlns:ns3="044b8e35-bece-49ff-aeb3-9f5d3f4329b3" targetNamespace="http://schemas.microsoft.com/office/2006/metadata/properties" ma:root="true" ma:fieldsID="bee52a4a3d34607da501a3c1a457acde" ns2:_="" ns3:_="">
    <xsd:import namespace="http://schemas.microsoft.com/sharepoint/v3/fields"/>
    <xsd:import namespace="044b8e35-bece-49ff-aeb3-9f5d3f4329b3"/>
    <xsd:element name="properties">
      <xsd:complexType>
        <xsd:sequence>
          <xsd:element name="documentManagement">
            <xsd:complexType>
              <xsd:all>
                <xsd:element ref="ns2:_DCDateModified" minOccurs="0"/>
                <xsd:element ref="ns2:_Version" minOccurs="0"/>
                <xsd:element ref="ns3:Temat" minOccurs="0"/>
                <xsd:element ref="ns3:Departament_x002f_Instytucj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8" nillable="true" ma:displayName="Data modyfikacji" ma:default="" ma:description="Data ostatniej modyfikacji tego zasobu" ma:format="DateTime" ma:internalName="_DCDateModified">
      <xsd:simpleType>
        <xsd:restriction base="dms:DateTime"/>
      </xsd:simpleType>
    </xsd:element>
    <xsd:element name="_Version" ma:index="9" nillable="true" ma:displayName="Wersja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b8e35-bece-49ff-aeb3-9f5d3f4329b3" elementFormDefault="qualified">
    <xsd:import namespace="http://schemas.microsoft.com/office/2006/documentManagement/types"/>
    <xsd:import namespace="http://schemas.microsoft.com/office/infopath/2007/PartnerControls"/>
    <xsd:element name="Temat" ma:index="10" nillable="true" ma:displayName="Temat" ma:internalName="Temat">
      <xsd:simpleType>
        <xsd:restriction base="dms:Text">
          <xsd:maxLength value="255"/>
        </xsd:restriction>
      </xsd:simpleType>
    </xsd:element>
    <xsd:element name="Departament_x002f_Instytucja" ma:index="11" nillable="true" ma:displayName="Dep/Inst" ma:default="PK" ma:format="Dropdown" ma:internalName="Departament_x002f_Instytucja">
      <xsd:simpleType>
        <xsd:union memberTypes="dms:Text">
          <xsd:simpleType>
            <xsd:restriction base="dms:Choice">
              <xsd:enumeration value="AZ"/>
              <xsd:enumeration value="BAK"/>
              <xsd:enumeration value="BD"/>
              <xsd:enumeration value="BDG"/>
              <xsd:enumeration value="BOK"/>
              <xsd:enumeration value="BR"/>
              <xsd:enumeration value="BR"/>
              <xsd:enumeration value="BS"/>
              <xsd:enumeration value="DI"/>
              <xsd:enumeration value="DP"/>
              <xsd:enumeration value="DR"/>
              <xsd:enumeration value="GP"/>
              <xsd:enumeration value="HU"/>
              <xsd:enumeration value="MS"/>
              <xsd:enumeration value="PK"/>
              <xsd:enumeration value="PR"/>
              <xsd:enumeration value="PZ"/>
              <xsd:enumeration value="RN"/>
              <xsd:enumeration value="SM"/>
              <xsd:enumeration value="WM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_DCDateModified xmlns="http://schemas.microsoft.com/sharepoint/v3/fields" xsi:nil="true"/>
    <Departament_x002f_Instytucja xmlns="044b8e35-bece-49ff-aeb3-9f5d3f4329b3">PK</Departament_x002f_Instytucja>
    <Temat xmlns="044b8e35-bece-49ff-aeb3-9f5d3f4329b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45DC49-7E21-4721-9048-67F69A7C3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44b8e35-bece-49ff-aeb3-9f5d3f4329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60A98C-FE5C-4FE1-BBE5-693100E23BC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044b8e35-bece-49ff-aeb3-9f5d3f4329b3"/>
  </ds:schemaRefs>
</ds:datastoreItem>
</file>

<file path=customXml/itemProps5.xml><?xml version="1.0" encoding="utf-8"?>
<ds:datastoreItem xmlns:ds="http://schemas.openxmlformats.org/officeDocument/2006/customXml" ds:itemID="{1E740A0E-1A31-4359-A14F-AD8F24938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1247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Nakłady na środki trwałe służące ochronie środowiska i gospodarce wodnej w Polsce w 2017 r.</dc:title>
  <dc:subject/>
  <cp:keywords/>
  <dc:description/>
  <cp:revision>2</cp:revision>
  <cp:lastPrinted>2018-09-05T11:23:00Z</cp:lastPrinted>
  <dcterms:created xsi:type="dcterms:W3CDTF">2018-09-06T10:22:00Z</dcterms:created>
  <dcterms:modified xsi:type="dcterms:W3CDTF">2018-09-06T10:22:00Z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0x010100F7773995C1A8BE469F1A00343CCDDA33</vt:lpwstr>
  </property>
</Properties>
</file>