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04F" w:rsidRPr="00B05B2E" w:rsidRDefault="0064104F" w:rsidP="00074DD8">
      <w:pPr>
        <w:pStyle w:val="tytuinformacji"/>
        <w:rPr>
          <w:sz w:val="32"/>
          <w:szCs w:val="32"/>
          <w:shd w:val="clear" w:color="auto" w:fill="FFFFFF"/>
        </w:rPr>
      </w:pPr>
      <w:r w:rsidRPr="00B05B2E">
        <w:rPr>
          <w:sz w:val="32"/>
          <w:szCs w:val="32"/>
        </w:rPr>
        <w:t xml:space="preserve">Budownictwo </w:t>
      </w:r>
      <w:proofErr w:type="spellStart"/>
      <w:r w:rsidR="00593509" w:rsidRPr="00B05B2E">
        <w:rPr>
          <w:sz w:val="32"/>
          <w:szCs w:val="32"/>
        </w:rPr>
        <w:t>niemieszkaniowe</w:t>
      </w:r>
      <w:proofErr w:type="spellEnd"/>
      <w:r w:rsidR="00593509" w:rsidRPr="00B05B2E">
        <w:rPr>
          <w:sz w:val="32"/>
          <w:szCs w:val="32"/>
        </w:rPr>
        <w:t xml:space="preserve"> w I </w:t>
      </w:r>
      <w:r w:rsidR="00F67AC9">
        <w:rPr>
          <w:sz w:val="32"/>
          <w:szCs w:val="32"/>
        </w:rPr>
        <w:t>półroczu</w:t>
      </w:r>
      <w:r w:rsidR="00593509" w:rsidRPr="00B05B2E">
        <w:rPr>
          <w:sz w:val="32"/>
          <w:szCs w:val="32"/>
        </w:rPr>
        <w:t xml:space="preserve"> </w:t>
      </w:r>
      <w:r w:rsidRPr="00B05B2E">
        <w:rPr>
          <w:sz w:val="32"/>
          <w:szCs w:val="32"/>
          <w:shd w:val="clear" w:color="auto" w:fill="FFFFFF"/>
        </w:rPr>
        <w:t>201</w:t>
      </w:r>
      <w:r w:rsidR="00F8742E" w:rsidRPr="00B05B2E">
        <w:rPr>
          <w:sz w:val="32"/>
          <w:szCs w:val="32"/>
          <w:shd w:val="clear" w:color="auto" w:fill="FFFFFF"/>
        </w:rPr>
        <w:t xml:space="preserve">8 </w:t>
      </w:r>
      <w:r w:rsidRPr="00B05B2E">
        <w:rPr>
          <w:sz w:val="32"/>
          <w:szCs w:val="32"/>
          <w:shd w:val="clear" w:color="auto" w:fill="FFFFFF"/>
        </w:rPr>
        <w:t>r.</w:t>
      </w:r>
    </w:p>
    <w:p w:rsidR="0064104F" w:rsidRPr="004466B1" w:rsidRDefault="0064104F" w:rsidP="00074DD8">
      <w:pPr>
        <w:pStyle w:val="tytuinformacji"/>
        <w:rPr>
          <w:sz w:val="32"/>
        </w:rPr>
      </w:pPr>
    </w:p>
    <w:p w:rsidR="0058132F" w:rsidRPr="0058132F" w:rsidRDefault="002D7793" w:rsidP="0058132F">
      <w:pPr>
        <w:pStyle w:val="LID"/>
        <w:jc w:val="both"/>
      </w:pPr>
      <w: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1828800" cy="1304925"/>
                <wp:effectExtent l="0" t="0" r="0" b="9525"/>
                <wp:wrapSquare wrapText="bothSides"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0492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04F" w:rsidRPr="001A5784" w:rsidRDefault="00360544" w:rsidP="006F4043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1F497D" w:themeColor="text2"/>
                                <w:sz w:val="72"/>
                              </w:rPr>
                            </w:pPr>
                            <w:r w:rsidRPr="00284612">
                              <w:rPr>
                                <w:rFonts w:ascii="Fira Sans Light" w:hAnsi="Fira Sans Light"/>
                                <w:b/>
                                <w:noProof/>
                                <w:color w:val="002060"/>
                                <w:sz w:val="22"/>
                                <w:shd w:val="clear" w:color="auto" w:fill="001D77"/>
                                <w:lang w:eastAsia="pl-PL"/>
                              </w:rPr>
                              <w:drawing>
                                <wp:inline distT="0" distB="0" distL="0" distR="0">
                                  <wp:extent cx="342900" cy="342900"/>
                                  <wp:effectExtent l="38100" t="38100" r="0" b="38100"/>
                                  <wp:docPr id="2" name="Obraz 3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r="-372" b="-227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429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scene3d>
                                            <a:camera prst="orthographicFront">
                                              <a:rot lat="1200000" lon="21000000" rev="10800000"/>
                                            </a:camera>
                                            <a:lightRig rig="threePt" dir="t"/>
                                          </a:scene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8132F">
                              <w:rPr>
                                <w:rFonts w:ascii="Fira Sans SemiBold" w:hAnsi="Fira Sans SemiBold"/>
                                <w:color w:val="FFFFFF"/>
                                <w:sz w:val="72"/>
                              </w:rPr>
                              <w:t>101,7</w:t>
                            </w:r>
                          </w:p>
                          <w:p w:rsidR="0064104F" w:rsidRPr="0050555C" w:rsidRDefault="0058132F" w:rsidP="00DB397E">
                            <w:pPr>
                              <w:pStyle w:val="tekstnaniebieskimtle"/>
                              <w:rPr>
                                <w:color w:val="FFFFFF"/>
                                <w:sz w:val="18"/>
                                <w:szCs w:val="20"/>
                              </w:rPr>
                            </w:pPr>
                            <w:r w:rsidRPr="0058132F">
                              <w:t xml:space="preserve">Dynamika </w:t>
                            </w:r>
                            <w:r w:rsidR="0071624F">
                              <w:t xml:space="preserve">wielkości </w:t>
                            </w:r>
                            <w:r w:rsidRPr="0058132F">
                              <w:t xml:space="preserve">powierzchni użytkowej budynków niemieszkalnych oddanych do użytkowania </w:t>
                            </w:r>
                            <w:r w:rsidR="00027B9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5.9pt;width:2in;height:102.7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" fillcolor="#001d77" stroked="f">
                <v:textbox>
                  <w:txbxContent>
                    <w:p w:rsidR="0064104F" w:rsidRPr="001A5784" w:rsidRDefault="00360544" w:rsidP="006F4043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1F497D" w:themeColor="text2"/>
                          <w:sz w:val="72"/>
                        </w:rPr>
                      </w:pPr>
                      <w:r w:rsidRPr="00284612">
                        <w:rPr>
                          <w:rFonts w:ascii="Fira Sans Light" w:hAnsi="Fira Sans Light"/>
                          <w:b/>
                          <w:noProof/>
                          <w:color w:val="002060"/>
                          <w:sz w:val="22"/>
                          <w:shd w:val="clear" w:color="auto" w:fill="001D77"/>
                          <w:lang w:eastAsia="pl-PL"/>
                        </w:rPr>
                        <w:drawing>
                          <wp:inline distT="0" distB="0" distL="0" distR="0">
                            <wp:extent cx="342900" cy="342900"/>
                            <wp:effectExtent l="38100" t="38100" r="0" b="38100"/>
                            <wp:docPr id="2" name="Obraz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r="-372" b="-227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429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scene3d>
                                      <a:camera prst="orthographicFront">
                                        <a:rot lat="1200000" lon="21000000" rev="10800000"/>
                                      </a:camera>
                                      <a:lightRig rig="threePt" dir="t"/>
                                    </a:scene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8132F">
                        <w:rPr>
                          <w:rFonts w:ascii="Fira Sans SemiBold" w:hAnsi="Fira Sans SemiBold"/>
                          <w:color w:val="FFFFFF"/>
                          <w:sz w:val="72"/>
                        </w:rPr>
                        <w:t>101,7</w:t>
                      </w:r>
                    </w:p>
                    <w:p w:rsidR="0064104F" w:rsidRPr="0050555C" w:rsidRDefault="0058132F" w:rsidP="00DB397E">
                      <w:pPr>
                        <w:pStyle w:val="tekstnaniebieskimtle"/>
                        <w:rPr>
                          <w:color w:val="FFFFFF"/>
                          <w:sz w:val="18"/>
                          <w:szCs w:val="20"/>
                        </w:rPr>
                      </w:pPr>
                      <w:r w:rsidRPr="0058132F">
                        <w:t xml:space="preserve">Dynamika </w:t>
                      </w:r>
                      <w:r w:rsidR="0071624F">
                        <w:t xml:space="preserve">wielkości </w:t>
                      </w:r>
                      <w:r w:rsidRPr="0058132F">
                        <w:t xml:space="preserve">powierzchni użytkowej budynków niemieszkalnych oddanych do użytkowania </w:t>
                      </w:r>
                      <w:r w:rsidR="00027B92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04584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04F" w:rsidRPr="000E41A2" w:rsidRDefault="00360544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/>
                                <w:sz w:val="72"/>
                                <w:lang w:val="en-US"/>
                              </w:rPr>
                            </w:pPr>
                            <w:r>
                              <w:rPr>
                                <w:rFonts w:ascii="Fira Sans Light" w:hAnsi="Fira Sans Light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>
                                  <wp:extent cx="333375" cy="333375"/>
                                  <wp:effectExtent l="19050" t="0" r="9525" b="0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4104F" w:rsidRPr="000E41A2">
                              <w:rPr>
                                <w:noProof/>
                                <w:color w:val="001D77"/>
                                <w:lang w:val="en-US" w:eastAsia="pl-PL"/>
                              </w:rPr>
                              <w:t xml:space="preserve"> </w:t>
                            </w:r>
                            <w:r w:rsidR="0064104F" w:rsidRPr="000E41A2">
                              <w:rPr>
                                <w:rFonts w:ascii="Fira Sans SemiBold" w:hAnsi="Fira Sans SemiBold"/>
                                <w:color w:val="FFFFFF"/>
                                <w:sz w:val="72"/>
                                <w:lang w:val="en-US"/>
                              </w:rPr>
                              <w:t>100,5</w:t>
                            </w:r>
                          </w:p>
                          <w:p w:rsidR="0064104F" w:rsidRPr="0050555C" w:rsidRDefault="0064104F" w:rsidP="00074DD8">
                            <w:pPr>
                              <w:pStyle w:val="tekstnaniebieskimtle"/>
                              <w:rPr>
                                <w:color w:val="FFFFFF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F64AC1">
                              <w:rPr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F64AC1">
                              <w:rPr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F64AC1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64AC1">
                              <w:rPr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F64AC1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4AC1">
                              <w:rPr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F64AC1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4AC1">
                              <w:rPr>
                                <w:lang w:val="en-US"/>
                              </w:rPr>
                              <w:t>elit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6.55pt;width:2in;height:82.35pt;z-index: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A6KgIAACo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" fillcolor="#001d77" stroked="f">
                <v:textbox>
                  <w:txbxContent>
                    <w:p w:rsidR="0064104F" w:rsidRPr="000E41A2" w:rsidRDefault="00360544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/>
                          <w:sz w:val="72"/>
                          <w:lang w:val="en-US"/>
                        </w:rPr>
                      </w:pPr>
                      <w:r>
                        <w:rPr>
                          <w:rFonts w:ascii="Fira Sans Light" w:hAnsi="Fira Sans Light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>
                            <wp:extent cx="333375" cy="333375"/>
                            <wp:effectExtent l="19050" t="0" r="9525" b="0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4104F" w:rsidRPr="000E41A2">
                        <w:rPr>
                          <w:noProof/>
                          <w:color w:val="001D77"/>
                          <w:lang w:val="en-US" w:eastAsia="pl-PL"/>
                        </w:rPr>
                        <w:t xml:space="preserve"> </w:t>
                      </w:r>
                      <w:r w:rsidR="0064104F" w:rsidRPr="000E41A2">
                        <w:rPr>
                          <w:rFonts w:ascii="Fira Sans SemiBold" w:hAnsi="Fira Sans SemiBold"/>
                          <w:color w:val="FFFFFF"/>
                          <w:sz w:val="72"/>
                          <w:lang w:val="en-US"/>
                        </w:rPr>
                        <w:t>100,5</w:t>
                      </w:r>
                    </w:p>
                    <w:p w:rsidR="0064104F" w:rsidRPr="0050555C" w:rsidRDefault="0064104F" w:rsidP="00074DD8">
                      <w:pPr>
                        <w:pStyle w:val="tekstnaniebieskimtle"/>
                        <w:rPr>
                          <w:color w:val="FFFFFF"/>
                          <w:sz w:val="18"/>
                          <w:szCs w:val="20"/>
                          <w:lang w:val="en-US"/>
                        </w:rPr>
                      </w:pPr>
                      <w:r w:rsidRPr="00F64AC1">
                        <w:rPr>
                          <w:lang w:val="en-US"/>
                        </w:rPr>
                        <w:t>Lorem ipsum dolor sit amet, consectetur adipiscing elit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132F">
        <w:t>W I półroczu 2018 r. odnotowano zmniejszenie, w stosunku do analogicznego okresu roku poprzedniego, liczby nowych budynków niemieszkalnych oddanych do użytkowania oraz zwiększenie łącznej powierzchni użytkowej</w:t>
      </w:r>
      <w:r w:rsidR="0058132F">
        <w:rPr>
          <w:rStyle w:val="Odwoanieprzypisudolnego"/>
        </w:rPr>
        <w:footnoteReference w:id="1"/>
      </w:r>
      <w:r w:rsidR="0058132F">
        <w:t xml:space="preserve">. Spadła </w:t>
      </w:r>
      <w:r w:rsidR="00C47E73">
        <w:t xml:space="preserve">również </w:t>
      </w:r>
      <w:r w:rsidR="0058132F">
        <w:t>liczba nowych budynków niemieszkalnych, na których budowę wydano pozwolenia, natomiast odnotowano wzrost ich powierzchni użytkowej.</w:t>
      </w:r>
    </w:p>
    <w:p w:rsidR="0058132F" w:rsidRDefault="0058132F" w:rsidP="006D38A1">
      <w:pPr>
        <w:pStyle w:val="Nagwek1"/>
        <w:ind w:right="-84"/>
        <w:jc w:val="both"/>
        <w:rPr>
          <w:rFonts w:ascii="Fira Sans" w:hAnsi="Fira Sans"/>
          <w:color w:val="auto"/>
          <w:sz w:val="19"/>
          <w:szCs w:val="19"/>
          <w:shd w:val="clear" w:color="auto" w:fill="FFFFFF"/>
        </w:rPr>
      </w:pPr>
    </w:p>
    <w:p w:rsidR="0058132F" w:rsidRDefault="0058132F" w:rsidP="006D38A1">
      <w:pPr>
        <w:pStyle w:val="Nagwek1"/>
        <w:ind w:right="-84"/>
        <w:jc w:val="both"/>
        <w:rPr>
          <w:rFonts w:ascii="Fira Sans" w:hAnsi="Fira Sans"/>
          <w:color w:val="auto"/>
          <w:sz w:val="19"/>
          <w:szCs w:val="19"/>
          <w:shd w:val="clear" w:color="auto" w:fill="FFFFFF"/>
        </w:rPr>
      </w:pPr>
      <w:r w:rsidRPr="00B15048">
        <w:rPr>
          <w:shd w:val="clear" w:color="auto" w:fill="FFFFFF"/>
        </w:rPr>
        <w:t>Efekty rzeczowe budownictwa budynków niemieszkalnych</w:t>
      </w:r>
    </w:p>
    <w:p w:rsidR="0064104F" w:rsidRPr="006D3B7E" w:rsidRDefault="00076474" w:rsidP="006D38A1">
      <w:pPr>
        <w:pStyle w:val="Nagwek1"/>
        <w:ind w:right="-84"/>
        <w:jc w:val="both"/>
        <w:rPr>
          <w:rFonts w:ascii="Fira Sans" w:hAnsi="Fira Sans"/>
          <w:color w:val="auto"/>
          <w:sz w:val="19"/>
          <w:szCs w:val="19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55880</wp:posOffset>
                </wp:positionV>
                <wp:extent cx="1748155" cy="1000125"/>
                <wp:effectExtent l="0" t="0" r="0" b="0"/>
                <wp:wrapTight wrapText="bothSides">
                  <wp:wrapPolygon edited="0">
                    <wp:start x="706" y="0"/>
                    <wp:lineTo x="706" y="20983"/>
                    <wp:lineTo x="20713" y="20983"/>
                    <wp:lineTo x="20713" y="0"/>
                    <wp:lineTo x="706" y="0"/>
                  </wp:wrapPolygon>
                </wp:wrapTight>
                <wp:docPr id="15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32F" w:rsidRPr="009E0D29" w:rsidRDefault="0071624F" w:rsidP="0058132F">
                            <w:pPr>
                              <w:pStyle w:val="tekstzboku"/>
                              <w:rPr>
                                <w:sz w:val="19"/>
                                <w:szCs w:val="19"/>
                              </w:rPr>
                            </w:pPr>
                            <w:r w:rsidRPr="0071624F">
                              <w:rPr>
                                <w:sz w:val="19"/>
                                <w:szCs w:val="19"/>
                              </w:rPr>
                              <w:t>Największy</w:t>
                            </w:r>
                            <w:r w:rsidR="00A74B6C">
                              <w:rPr>
                                <w:sz w:val="19"/>
                                <w:szCs w:val="19"/>
                              </w:rPr>
                              <w:t xml:space="preserve"> udział</w:t>
                            </w:r>
                            <w:r w:rsidRPr="0071624F">
                              <w:rPr>
                                <w:sz w:val="19"/>
                                <w:szCs w:val="19"/>
                              </w:rPr>
                              <w:t xml:space="preserve"> (44,9%) w</w:t>
                            </w:r>
                            <w:r w:rsidR="00A74B6C">
                              <w:rPr>
                                <w:sz w:val="19"/>
                                <w:szCs w:val="19"/>
                              </w:rPr>
                              <w:t> od</w:t>
                            </w:r>
                            <w:r w:rsidRPr="0071624F">
                              <w:rPr>
                                <w:sz w:val="19"/>
                                <w:szCs w:val="19"/>
                              </w:rPr>
                              <w:t>danej do użyt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kowania powierzchni miały budynki przemysłowe i magazynowe</w:t>
                            </w:r>
                          </w:p>
                          <w:p w:rsidR="002E5257" w:rsidRPr="009E0D29" w:rsidRDefault="002E5257" w:rsidP="006D38A1">
                            <w:pPr>
                              <w:pStyle w:val="tekstzboku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" o:spid="_x0000_s1028" type="#_x0000_t202" style="position:absolute;left:0;text-align:left;margin-left:411pt;margin-top:4.4pt;width:137.65pt;height:78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" filled="f" stroked="f">
                <v:textbox>
                  <w:txbxContent>
                    <w:p w:rsidR="0058132F" w:rsidRPr="009E0D29" w:rsidRDefault="0071624F" w:rsidP="0058132F">
                      <w:pPr>
                        <w:pStyle w:val="tekstzboku"/>
                        <w:rPr>
                          <w:sz w:val="19"/>
                          <w:szCs w:val="19"/>
                        </w:rPr>
                      </w:pPr>
                      <w:r w:rsidRPr="0071624F">
                        <w:rPr>
                          <w:sz w:val="19"/>
                          <w:szCs w:val="19"/>
                        </w:rPr>
                        <w:t>Największy</w:t>
                      </w:r>
                      <w:r w:rsidR="00A74B6C">
                        <w:rPr>
                          <w:sz w:val="19"/>
                          <w:szCs w:val="19"/>
                        </w:rPr>
                        <w:t xml:space="preserve"> udział</w:t>
                      </w:r>
                      <w:r w:rsidRPr="0071624F">
                        <w:rPr>
                          <w:sz w:val="19"/>
                          <w:szCs w:val="19"/>
                        </w:rPr>
                        <w:t xml:space="preserve"> (44,9%) w</w:t>
                      </w:r>
                      <w:r w:rsidR="00A74B6C">
                        <w:rPr>
                          <w:sz w:val="19"/>
                          <w:szCs w:val="19"/>
                        </w:rPr>
                        <w:t> od</w:t>
                      </w:r>
                      <w:r w:rsidRPr="0071624F">
                        <w:rPr>
                          <w:sz w:val="19"/>
                          <w:szCs w:val="19"/>
                        </w:rPr>
                        <w:t>danej do użyt</w:t>
                      </w:r>
                      <w:r>
                        <w:rPr>
                          <w:sz w:val="19"/>
                          <w:szCs w:val="19"/>
                        </w:rPr>
                        <w:t>kowania powierzchni miały budynki przemysłowe i magazynowe</w:t>
                      </w:r>
                    </w:p>
                    <w:p w:rsidR="002E5257" w:rsidRPr="009E0D29" w:rsidRDefault="002E5257" w:rsidP="006D38A1">
                      <w:pPr>
                        <w:pStyle w:val="tekstzboku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1624F" w:rsidRPr="0071624F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W I półroczu 2018 roku przekazano do eksploatacji 11 </w:t>
      </w:r>
      <w:r w:rsidR="00A109B4">
        <w:rPr>
          <w:rFonts w:ascii="Fira Sans" w:hAnsi="Fira Sans"/>
          <w:color w:val="auto"/>
          <w:sz w:val="19"/>
          <w:szCs w:val="19"/>
          <w:shd w:val="clear" w:color="auto" w:fill="FFFFFF"/>
        </w:rPr>
        <w:t>204 nowe budynki</w:t>
      </w:r>
      <w:r w:rsidR="0071624F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niemieszkal</w:t>
      </w:r>
      <w:r w:rsidR="00A109B4">
        <w:rPr>
          <w:rFonts w:ascii="Fira Sans" w:hAnsi="Fira Sans"/>
          <w:color w:val="auto"/>
          <w:sz w:val="19"/>
          <w:szCs w:val="19"/>
          <w:shd w:val="clear" w:color="auto" w:fill="FFFFFF"/>
        </w:rPr>
        <w:t>ne</w:t>
      </w:r>
      <w:r w:rsidR="0071624F" w:rsidRPr="0071624F">
        <w:rPr>
          <w:rFonts w:ascii="Fira Sans" w:hAnsi="Fira Sans"/>
          <w:color w:val="auto"/>
          <w:sz w:val="19"/>
          <w:szCs w:val="19"/>
          <w:shd w:val="clear" w:color="auto" w:fill="FFFFFF"/>
        </w:rPr>
        <w:t xml:space="preserve"> oraz rozbudowano 1 780 (odpowiednio o 3,3% i 0,4% mniej niż w analogicznym okresie roku poprzedniego). Łączna powierzchnia użytkowa o</w:t>
      </w:r>
      <w:r w:rsidR="0071624F">
        <w:rPr>
          <w:rFonts w:ascii="Fira Sans" w:hAnsi="Fira Sans"/>
          <w:color w:val="auto"/>
          <w:sz w:val="19"/>
          <w:szCs w:val="19"/>
          <w:shd w:val="clear" w:color="auto" w:fill="FFFFFF"/>
        </w:rPr>
        <w:t>gółem nowych i rozbudowanych bu</w:t>
      </w:r>
      <w:r w:rsidR="0071624F" w:rsidRPr="0071624F">
        <w:rPr>
          <w:rFonts w:ascii="Fira Sans" w:hAnsi="Fira Sans"/>
          <w:color w:val="auto"/>
          <w:sz w:val="19"/>
          <w:szCs w:val="19"/>
          <w:shd w:val="clear" w:color="auto" w:fill="FFFFFF"/>
        </w:rPr>
        <w:t>dynków niemieszkalnych wyniosła 7 714,1 tys. m</w:t>
      </w:r>
      <w:r w:rsidR="0071624F" w:rsidRPr="00A109B4">
        <w:rPr>
          <w:rFonts w:ascii="Fira Sans" w:hAnsi="Fira Sans"/>
          <w:color w:val="auto"/>
          <w:sz w:val="19"/>
          <w:szCs w:val="19"/>
          <w:shd w:val="clear" w:color="auto" w:fill="FFFFFF"/>
          <w:vertAlign w:val="superscript"/>
        </w:rPr>
        <w:t>2</w:t>
      </w:r>
      <w:r w:rsidR="0071624F" w:rsidRPr="0071624F">
        <w:rPr>
          <w:rFonts w:ascii="Fira Sans" w:hAnsi="Fira Sans"/>
          <w:color w:val="auto"/>
          <w:sz w:val="19"/>
          <w:szCs w:val="19"/>
          <w:shd w:val="clear" w:color="auto" w:fill="FFFFFF"/>
        </w:rPr>
        <w:t>, o 1,7% wi</w:t>
      </w:r>
      <w:r w:rsidR="0071624F">
        <w:rPr>
          <w:rFonts w:ascii="Fira Sans" w:hAnsi="Fira Sans"/>
          <w:color w:val="auto"/>
          <w:sz w:val="19"/>
          <w:szCs w:val="19"/>
          <w:shd w:val="clear" w:color="auto" w:fill="FFFFFF"/>
        </w:rPr>
        <w:t>ęcej niż w roku poprzednim. Naj</w:t>
      </w:r>
      <w:r w:rsidR="0071624F" w:rsidRPr="0071624F">
        <w:rPr>
          <w:rFonts w:ascii="Fira Sans" w:hAnsi="Fira Sans"/>
          <w:color w:val="auto"/>
          <w:sz w:val="19"/>
          <w:szCs w:val="19"/>
          <w:shd w:val="clear" w:color="auto" w:fill="FFFFFF"/>
        </w:rPr>
        <w:t>większe wzrosty oddanej do użytkowania powierzchn</w:t>
      </w:r>
      <w:r w:rsidR="0071624F">
        <w:rPr>
          <w:rFonts w:ascii="Fira Sans" w:hAnsi="Fira Sans"/>
          <w:color w:val="auto"/>
          <w:sz w:val="19"/>
          <w:szCs w:val="19"/>
          <w:shd w:val="clear" w:color="auto" w:fill="FFFFFF"/>
        </w:rPr>
        <w:t>i odnotowano dla budynków biuro</w:t>
      </w:r>
      <w:r w:rsidR="0071624F" w:rsidRPr="0071624F">
        <w:rPr>
          <w:rFonts w:ascii="Fira Sans" w:hAnsi="Fira Sans"/>
          <w:color w:val="auto"/>
          <w:sz w:val="19"/>
          <w:szCs w:val="19"/>
          <w:shd w:val="clear" w:color="auto" w:fill="FFFFFF"/>
        </w:rPr>
        <w:t>wych (94,6%) oraz handlowo-usługowych (33,5%). Pod wz</w:t>
      </w:r>
      <w:r w:rsidR="0071624F">
        <w:rPr>
          <w:rFonts w:ascii="Fira Sans" w:hAnsi="Fira Sans"/>
          <w:color w:val="auto"/>
          <w:sz w:val="19"/>
          <w:szCs w:val="19"/>
          <w:shd w:val="clear" w:color="auto" w:fill="FFFFFF"/>
        </w:rPr>
        <w:t>ględem przekazanej do eksploata</w:t>
      </w:r>
      <w:r w:rsidR="0071624F" w:rsidRPr="0071624F">
        <w:rPr>
          <w:rFonts w:ascii="Fira Sans" w:hAnsi="Fira Sans"/>
          <w:color w:val="auto"/>
          <w:sz w:val="19"/>
          <w:szCs w:val="19"/>
          <w:shd w:val="clear" w:color="auto" w:fill="FFFFFF"/>
        </w:rPr>
        <w:t>cji powierzchni budynków niemieszkalnych w I półroczu 2018 roku przeważały (44,9% powierzchni) budynki przemysłowe i magazynowe.  Znaczące udziały miały pozostałe budynki niemieszkalne (21,8%) oraz budynki handlowo-usługowe (14,5%).</w:t>
      </w:r>
    </w:p>
    <w:p w:rsidR="0058132F" w:rsidRDefault="0071624F" w:rsidP="0058132F">
      <w:pPr>
        <w:pStyle w:val="tekstzboku"/>
        <w:tabs>
          <w:tab w:val="left" w:pos="992"/>
        </w:tabs>
        <w:ind w:left="992" w:hanging="992"/>
        <w:rPr>
          <w:b/>
          <w:color w:val="auto"/>
          <w:shd w:val="clear" w:color="auto" w:fill="FFFFFF"/>
        </w:rPr>
      </w:pPr>
      <w:r>
        <w:rPr>
          <w:b/>
          <w:noProof/>
          <w:color w:val="auto"/>
          <w:shd w:val="clear" w:color="auto" w:fill="FFFFFF"/>
        </w:rPr>
        <w:drawing>
          <wp:anchor distT="0" distB="0" distL="114300" distR="114300" simplePos="0" relativeHeight="251685376" behindDoc="0" locked="0" layoutInCell="1" allowOverlap="1" wp14:anchorId="7B73B453" wp14:editId="20D9BC15">
            <wp:simplePos x="0" y="0"/>
            <wp:positionH relativeFrom="margin">
              <wp:align>left</wp:align>
            </wp:positionH>
            <wp:positionV relativeFrom="paragraph">
              <wp:posOffset>490185</wp:posOffset>
            </wp:positionV>
            <wp:extent cx="5112385" cy="2185035"/>
            <wp:effectExtent l="0" t="0" r="0" b="5715"/>
            <wp:wrapTopAndBottom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32F">
        <w:rPr>
          <w:b/>
          <w:color w:val="auto"/>
          <w:shd w:val="clear" w:color="auto" w:fill="FFFFFF"/>
        </w:rPr>
        <w:t>Wykres 1.</w:t>
      </w:r>
      <w:r w:rsidR="0058132F">
        <w:rPr>
          <w:b/>
          <w:color w:val="auto"/>
          <w:shd w:val="clear" w:color="auto" w:fill="FFFFFF"/>
        </w:rPr>
        <w:tab/>
      </w:r>
      <w:r w:rsidR="0058132F" w:rsidRPr="00492EE2">
        <w:rPr>
          <w:b/>
          <w:color w:val="auto"/>
          <w:shd w:val="clear" w:color="auto" w:fill="FFFFFF"/>
        </w:rPr>
        <w:t xml:space="preserve">Struktura powierzchni użytkowej budynków niemieszkalnych oddanych do użytkowania w </w:t>
      </w:r>
      <w:r w:rsidR="0058132F">
        <w:rPr>
          <w:b/>
          <w:color w:val="auto"/>
          <w:shd w:val="clear" w:color="auto" w:fill="FFFFFF"/>
        </w:rPr>
        <w:t>I półroczu 2018</w:t>
      </w:r>
      <w:r w:rsidR="0058132F" w:rsidRPr="00492EE2">
        <w:rPr>
          <w:b/>
          <w:color w:val="auto"/>
          <w:shd w:val="clear" w:color="auto" w:fill="FFFFFF"/>
        </w:rPr>
        <w:t xml:space="preserve"> r.</w:t>
      </w:r>
    </w:p>
    <w:p w:rsidR="0071624F" w:rsidRDefault="00A74B6C" w:rsidP="0058132F">
      <w:pPr>
        <w:pStyle w:val="tekstzboku"/>
        <w:tabs>
          <w:tab w:val="left" w:pos="992"/>
        </w:tabs>
        <w:ind w:left="992" w:hanging="992"/>
        <w:rPr>
          <w:b/>
          <w:color w:val="auto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1" locked="0" layoutInCell="1" allowOverlap="1">
                <wp:simplePos x="0" y="0"/>
                <wp:positionH relativeFrom="column">
                  <wp:posOffset>5262245</wp:posOffset>
                </wp:positionH>
                <wp:positionV relativeFrom="paragraph">
                  <wp:posOffset>2456271</wp:posOffset>
                </wp:positionV>
                <wp:extent cx="1772285" cy="1357312"/>
                <wp:effectExtent l="0" t="0" r="0" b="0"/>
                <wp:wrapTight wrapText="bothSides">
                  <wp:wrapPolygon edited="0">
                    <wp:start x="697" y="0"/>
                    <wp:lineTo x="697" y="21226"/>
                    <wp:lineTo x="20664" y="21226"/>
                    <wp:lineTo x="20664" y="0"/>
                    <wp:lineTo x="697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13573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32F" w:rsidRPr="00D13E4D" w:rsidRDefault="0058132F" w:rsidP="0058132F">
                            <w:pPr>
                              <w:pStyle w:val="tekstzboku"/>
                              <w:rPr>
                                <w:sz w:val="19"/>
                                <w:szCs w:val="19"/>
                              </w:rPr>
                            </w:pPr>
                            <w:r w:rsidRPr="0058132F">
                              <w:rPr>
                                <w:sz w:val="19"/>
                                <w:szCs w:val="19"/>
                              </w:rPr>
                              <w:t>Powierzchnia użytkowa budynków niemieszkalnych oddanych do użytkowania na terenie wojew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ództwa mazowieckiego, wielkopol</w:t>
                            </w:r>
                            <w:r w:rsidRPr="0058132F">
                              <w:rPr>
                                <w:sz w:val="19"/>
                                <w:szCs w:val="19"/>
                              </w:rPr>
                              <w:t>skiego i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 </w:t>
                            </w:r>
                            <w:r w:rsidRPr="0058132F">
                              <w:rPr>
                                <w:sz w:val="19"/>
                                <w:szCs w:val="19"/>
                              </w:rPr>
                              <w:t>śląskiego stanowiła ponad 41% ogółu oddanej powierzchni</w:t>
                            </w:r>
                            <w:r w:rsidR="00E827C6">
                              <w:rPr>
                                <w:sz w:val="19"/>
                                <w:szCs w:val="19"/>
                              </w:rPr>
                              <w:t xml:space="preserve"> w kraju</w:t>
                            </w:r>
                          </w:p>
                        </w:txbxContent>
                      </wps:txbx>
                      <wps:bodyPr rot="0" vert="horz" wrap="square" lIns="90000" tIns="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9" type="#_x0000_t202" style="position:absolute;left:0;text-align:left;margin-left:414.35pt;margin-top:193.4pt;width:139.55pt;height:106.85pt;z-index:-25164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" filled="f" stroked="f">
                <v:textbox inset="2.5mm,0">
                  <w:txbxContent>
                    <w:p w:rsidR="0058132F" w:rsidRPr="00D13E4D" w:rsidRDefault="0058132F" w:rsidP="0058132F">
                      <w:pPr>
                        <w:pStyle w:val="tekstzboku"/>
                        <w:rPr>
                          <w:sz w:val="19"/>
                          <w:szCs w:val="19"/>
                        </w:rPr>
                      </w:pPr>
                      <w:r w:rsidRPr="0058132F">
                        <w:rPr>
                          <w:sz w:val="19"/>
                          <w:szCs w:val="19"/>
                        </w:rPr>
                        <w:t>Powierzchnia użytkowa budynków niemieszkalnych oddanych do użytkowania na terenie wojew</w:t>
                      </w:r>
                      <w:r>
                        <w:rPr>
                          <w:sz w:val="19"/>
                          <w:szCs w:val="19"/>
                        </w:rPr>
                        <w:t>ództwa mazowieckiego, wielkopol</w:t>
                      </w:r>
                      <w:r w:rsidRPr="0058132F">
                        <w:rPr>
                          <w:sz w:val="19"/>
                          <w:szCs w:val="19"/>
                        </w:rPr>
                        <w:t>skiego i</w:t>
                      </w:r>
                      <w:r>
                        <w:rPr>
                          <w:sz w:val="19"/>
                          <w:szCs w:val="19"/>
                        </w:rPr>
                        <w:t> </w:t>
                      </w:r>
                      <w:r w:rsidRPr="0058132F">
                        <w:rPr>
                          <w:sz w:val="19"/>
                          <w:szCs w:val="19"/>
                        </w:rPr>
                        <w:t>śląskiego stanowiła ponad 41% ogółu oddanej powierzchni</w:t>
                      </w:r>
                      <w:r w:rsidR="00E827C6">
                        <w:rPr>
                          <w:sz w:val="19"/>
                          <w:szCs w:val="19"/>
                        </w:rPr>
                        <w:t xml:space="preserve"> w kraju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F6A8E" w:rsidRPr="008F6A8E" w:rsidRDefault="0058132F" w:rsidP="00BD6EC5">
      <w:pPr>
        <w:jc w:val="both"/>
        <w:rPr>
          <w:lang w:eastAsia="pl-PL"/>
        </w:rPr>
      </w:pPr>
      <w:r w:rsidRPr="00D173DD">
        <w:rPr>
          <w:shd w:val="clear" w:color="auto" w:fill="FFFFFF"/>
        </w:rPr>
        <w:t>Największą powierzchnię użytkową budynków niemieszk</w:t>
      </w:r>
      <w:r>
        <w:rPr>
          <w:shd w:val="clear" w:color="auto" w:fill="FFFFFF"/>
        </w:rPr>
        <w:t>alnych w I półroczu 2018 r. oddano do użytkowania w województwach:</w:t>
      </w:r>
      <w:r w:rsidRPr="00D173DD">
        <w:rPr>
          <w:shd w:val="clear" w:color="auto" w:fill="FFFFFF"/>
        </w:rPr>
        <w:t xml:space="preserve"> mazowieckim (</w:t>
      </w:r>
      <w:r>
        <w:rPr>
          <w:shd w:val="clear" w:color="auto" w:fill="FFFFFF"/>
        </w:rPr>
        <w:t>1 244,3</w:t>
      </w:r>
      <w:r w:rsidRPr="00D173DD">
        <w:rPr>
          <w:shd w:val="clear" w:color="auto" w:fill="FFFFFF"/>
        </w:rPr>
        <w:t xml:space="preserve"> tys. m</w:t>
      </w:r>
      <w:r w:rsidRPr="00D173DD">
        <w:rPr>
          <w:shd w:val="clear" w:color="auto" w:fill="FFFFFF"/>
          <w:vertAlign w:val="superscript"/>
        </w:rPr>
        <w:t>2</w:t>
      </w:r>
      <w:r w:rsidRPr="00D173DD">
        <w:rPr>
          <w:shd w:val="clear" w:color="auto" w:fill="FFFFFF"/>
        </w:rPr>
        <w:t>), wielkopolskim (991,5</w:t>
      </w:r>
      <w:r>
        <w:rPr>
          <w:shd w:val="clear" w:color="auto" w:fill="FFFFFF"/>
        </w:rPr>
        <w:t> </w:t>
      </w:r>
      <w:r w:rsidRPr="00D173DD">
        <w:rPr>
          <w:shd w:val="clear" w:color="auto" w:fill="FFFFFF"/>
        </w:rPr>
        <w:t>tys.</w:t>
      </w:r>
      <w:r>
        <w:rPr>
          <w:shd w:val="clear" w:color="auto" w:fill="FFFFFF"/>
        </w:rPr>
        <w:t> </w:t>
      </w:r>
      <w:r w:rsidRPr="00D173DD">
        <w:rPr>
          <w:shd w:val="clear" w:color="auto" w:fill="FFFFFF"/>
        </w:rPr>
        <w:t>m</w:t>
      </w:r>
      <w:r w:rsidRPr="00D173DD">
        <w:rPr>
          <w:shd w:val="clear" w:color="auto" w:fill="FFFFFF"/>
          <w:vertAlign w:val="superscript"/>
        </w:rPr>
        <w:t>2</w:t>
      </w:r>
      <w:r w:rsidRPr="00D173DD">
        <w:rPr>
          <w:shd w:val="clear" w:color="auto" w:fill="FFFFFF"/>
        </w:rPr>
        <w:t>) i</w:t>
      </w:r>
      <w:r>
        <w:rPr>
          <w:shd w:val="clear" w:color="auto" w:fill="FFFFFF"/>
        </w:rPr>
        <w:t> </w:t>
      </w:r>
      <w:r w:rsidRPr="00D173DD">
        <w:rPr>
          <w:shd w:val="clear" w:color="auto" w:fill="FFFFFF"/>
        </w:rPr>
        <w:t>śląskim (956,8 tys. m</w:t>
      </w:r>
      <w:r w:rsidRPr="00D173DD">
        <w:rPr>
          <w:shd w:val="clear" w:color="auto" w:fill="FFFFFF"/>
          <w:vertAlign w:val="superscript"/>
        </w:rPr>
        <w:t>2</w:t>
      </w:r>
      <w:r w:rsidRPr="00D173DD">
        <w:rPr>
          <w:shd w:val="clear" w:color="auto" w:fill="FFFFFF"/>
        </w:rPr>
        <w:t>), najmniejszą zaś w lubuskim (147,8 tys. m</w:t>
      </w:r>
      <w:r w:rsidRPr="00D173DD">
        <w:rPr>
          <w:shd w:val="clear" w:color="auto" w:fill="FFFFFF"/>
          <w:vertAlign w:val="superscript"/>
        </w:rPr>
        <w:t>2</w:t>
      </w:r>
      <w:r w:rsidRPr="00D173DD">
        <w:rPr>
          <w:shd w:val="clear" w:color="auto" w:fill="FFFFFF"/>
        </w:rPr>
        <w:t>)</w:t>
      </w:r>
      <w:r>
        <w:rPr>
          <w:shd w:val="clear" w:color="auto" w:fill="FFFFFF"/>
        </w:rPr>
        <w:t>,</w:t>
      </w:r>
      <w:r w:rsidRPr="00D173DD">
        <w:rPr>
          <w:shd w:val="clear" w:color="auto" w:fill="FFFFFF"/>
        </w:rPr>
        <w:t xml:space="preserve"> opolskim (183,4 tys. m</w:t>
      </w:r>
      <w:r w:rsidRPr="00D173DD">
        <w:rPr>
          <w:shd w:val="clear" w:color="auto" w:fill="FFFFFF"/>
          <w:vertAlign w:val="superscript"/>
        </w:rPr>
        <w:t>2</w:t>
      </w:r>
      <w:r>
        <w:rPr>
          <w:shd w:val="clear" w:color="auto" w:fill="FFFFFF"/>
        </w:rPr>
        <w:t>) i </w:t>
      </w:r>
      <w:r w:rsidRPr="00D173DD">
        <w:rPr>
          <w:shd w:val="clear" w:color="auto" w:fill="FFFFFF"/>
        </w:rPr>
        <w:t>świętokrzyskim (208,1 tys. m</w:t>
      </w:r>
      <w:r w:rsidRPr="00D173DD">
        <w:rPr>
          <w:shd w:val="clear" w:color="auto" w:fill="FFFFFF"/>
          <w:vertAlign w:val="superscript"/>
        </w:rPr>
        <w:t>2</w:t>
      </w:r>
      <w:r>
        <w:rPr>
          <w:shd w:val="clear" w:color="auto" w:fill="FFFFFF"/>
        </w:rPr>
        <w:t>)</w:t>
      </w:r>
      <w:r w:rsidRPr="00D173DD">
        <w:rPr>
          <w:shd w:val="clear" w:color="auto" w:fill="FFFFFF"/>
        </w:rPr>
        <w:t>. Najwię</w:t>
      </w:r>
      <w:r>
        <w:rPr>
          <w:shd w:val="clear" w:color="auto" w:fill="FFFFFF"/>
        </w:rPr>
        <w:t>kszy przyrost powierzchni w sto</w:t>
      </w:r>
      <w:r w:rsidRPr="00D173DD">
        <w:rPr>
          <w:shd w:val="clear" w:color="auto" w:fill="FFFFFF"/>
        </w:rPr>
        <w:t xml:space="preserve">sunku do </w:t>
      </w:r>
      <w:r>
        <w:rPr>
          <w:shd w:val="clear" w:color="auto" w:fill="FFFFFF"/>
        </w:rPr>
        <w:t xml:space="preserve">analogicznego okresu </w:t>
      </w:r>
      <w:r w:rsidRPr="00D173DD">
        <w:rPr>
          <w:shd w:val="clear" w:color="auto" w:fill="FFFFFF"/>
        </w:rPr>
        <w:t>roku poprzedniego odnotowano w województwie</w:t>
      </w:r>
      <w:r w:rsidRPr="00D173DD">
        <w:t xml:space="preserve"> </w:t>
      </w:r>
      <w:r w:rsidRPr="00D173DD">
        <w:rPr>
          <w:shd w:val="clear" w:color="auto" w:fill="FFFFFF"/>
        </w:rPr>
        <w:t>świętokrzyskim</w:t>
      </w:r>
      <w:r>
        <w:rPr>
          <w:shd w:val="clear" w:color="auto" w:fill="FFFFFF"/>
        </w:rPr>
        <w:t xml:space="preserve"> (</w:t>
      </w:r>
      <w:r w:rsidR="00BD6EC5">
        <w:rPr>
          <w:shd w:val="clear" w:color="auto" w:fill="FFFFFF"/>
        </w:rPr>
        <w:t>wzrost o 70,4%), śląskim (</w:t>
      </w:r>
      <w:r>
        <w:rPr>
          <w:shd w:val="clear" w:color="auto" w:fill="FFFFFF"/>
        </w:rPr>
        <w:t xml:space="preserve">38,3%), </w:t>
      </w:r>
      <w:r w:rsidR="00BD6EC5">
        <w:rPr>
          <w:shd w:val="clear" w:color="auto" w:fill="FFFFFF"/>
        </w:rPr>
        <w:t>pomorskim (</w:t>
      </w:r>
      <w:r>
        <w:rPr>
          <w:shd w:val="clear" w:color="auto" w:fill="FFFFFF"/>
        </w:rPr>
        <w:t>30,2</w:t>
      </w:r>
      <w:r w:rsidRPr="00D173DD">
        <w:rPr>
          <w:shd w:val="clear" w:color="auto" w:fill="FFFFFF"/>
        </w:rPr>
        <w:t xml:space="preserve">%) oraz </w:t>
      </w:r>
      <w:r>
        <w:rPr>
          <w:shd w:val="clear" w:color="auto" w:fill="FFFFFF"/>
        </w:rPr>
        <w:t xml:space="preserve">małopolskim </w:t>
      </w:r>
      <w:r w:rsidR="00BD6EC5">
        <w:rPr>
          <w:shd w:val="clear" w:color="auto" w:fill="FFFFFF"/>
        </w:rPr>
        <w:t>(</w:t>
      </w:r>
      <w:r>
        <w:rPr>
          <w:shd w:val="clear" w:color="auto" w:fill="FFFFFF"/>
        </w:rPr>
        <w:t>27,1</w:t>
      </w:r>
      <w:r w:rsidRPr="00D173DD">
        <w:rPr>
          <w:shd w:val="clear" w:color="auto" w:fill="FFFFFF"/>
        </w:rPr>
        <w:t>%).</w:t>
      </w:r>
    </w:p>
    <w:p w:rsidR="0058132F" w:rsidRDefault="00A109B4" w:rsidP="0058132F">
      <w:pPr>
        <w:pStyle w:val="tytuwykresu"/>
        <w:tabs>
          <w:tab w:val="left" w:pos="992"/>
        </w:tabs>
        <w:ind w:left="992" w:hanging="992"/>
        <w:rPr>
          <w:sz w:val="19"/>
          <w:szCs w:val="19"/>
          <w:shd w:val="clear" w:color="auto" w:fill="FFFFFF"/>
        </w:rPr>
      </w:pPr>
      <w:r>
        <w:rPr>
          <w:noProof/>
          <w:sz w:val="19"/>
          <w:szCs w:val="19"/>
          <w:shd w:val="clear" w:color="auto" w:fill="FFFFFF"/>
          <w:lang w:eastAsia="pl-PL"/>
        </w:rPr>
        <w:lastRenderedPageBreak/>
        <w:drawing>
          <wp:anchor distT="0" distB="0" distL="114300" distR="114300" simplePos="0" relativeHeight="25168640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396875</wp:posOffset>
            </wp:positionV>
            <wp:extent cx="5119370" cy="3592195"/>
            <wp:effectExtent l="0" t="0" r="5080" b="8255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370" cy="359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32F" w:rsidRPr="00D13E4D">
        <w:rPr>
          <w:sz w:val="19"/>
          <w:szCs w:val="19"/>
        </w:rPr>
        <w:t>Wykres 2.</w:t>
      </w:r>
      <w:r w:rsidR="0058132F">
        <w:rPr>
          <w:sz w:val="19"/>
          <w:szCs w:val="19"/>
        </w:rPr>
        <w:tab/>
      </w:r>
      <w:r w:rsidR="0058132F" w:rsidRPr="00D13E4D">
        <w:rPr>
          <w:sz w:val="19"/>
          <w:szCs w:val="19"/>
          <w:shd w:val="clear" w:color="auto" w:fill="FFFFFF"/>
        </w:rPr>
        <w:t>Powierzchnia użytkowa budynków niemieszkalnych oddanych d</w:t>
      </w:r>
      <w:r w:rsidR="0058132F">
        <w:rPr>
          <w:sz w:val="19"/>
          <w:szCs w:val="19"/>
          <w:shd w:val="clear" w:color="auto" w:fill="FFFFFF"/>
        </w:rPr>
        <w:t>o użytkowania w I półroczu 2018 r. według województw</w:t>
      </w:r>
    </w:p>
    <w:p w:rsidR="00A109B4" w:rsidRPr="00D13E4D" w:rsidRDefault="00A109B4" w:rsidP="0058132F">
      <w:pPr>
        <w:pStyle w:val="tytuwykresu"/>
        <w:tabs>
          <w:tab w:val="left" w:pos="992"/>
        </w:tabs>
        <w:ind w:left="992" w:hanging="992"/>
        <w:rPr>
          <w:sz w:val="19"/>
          <w:szCs w:val="19"/>
          <w:shd w:val="clear" w:color="auto" w:fill="FFFFFF"/>
        </w:rPr>
      </w:pPr>
    </w:p>
    <w:p w:rsidR="00565BC0" w:rsidRDefault="0058132F" w:rsidP="00202665">
      <w:pPr>
        <w:pStyle w:val="Nagwek1"/>
        <w:spacing w:before="360" w:after="240"/>
        <w:ind w:right="-85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Pozwolenia na budowę nowych </w:t>
      </w:r>
      <w:r w:rsidRPr="00B15048">
        <w:rPr>
          <w:shd w:val="clear" w:color="auto" w:fill="FFFFFF"/>
        </w:rPr>
        <w:t>budynków niemieszkalnych</w:t>
      </w:r>
    </w:p>
    <w:p w:rsidR="006D3B7E" w:rsidRPr="006D3B7E" w:rsidRDefault="00202665" w:rsidP="006D38A1">
      <w:pPr>
        <w:jc w:val="both"/>
        <w:rPr>
          <w:shd w:val="clear" w:color="auto" w:fill="FFFFFF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5239218</wp:posOffset>
                </wp:positionH>
                <wp:positionV relativeFrom="paragraph">
                  <wp:posOffset>104845</wp:posOffset>
                </wp:positionV>
                <wp:extent cx="1762125" cy="1295400"/>
                <wp:effectExtent l="0" t="0" r="0" b="0"/>
                <wp:wrapTight wrapText="bothSides">
                  <wp:wrapPolygon edited="0">
                    <wp:start x="701" y="0"/>
                    <wp:lineTo x="701" y="21282"/>
                    <wp:lineTo x="20783" y="21282"/>
                    <wp:lineTo x="20783" y="0"/>
                    <wp:lineTo x="701" y="0"/>
                  </wp:wrapPolygon>
                </wp:wrapTight>
                <wp:docPr id="14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32F" w:rsidRPr="002A437B" w:rsidRDefault="0058132F" w:rsidP="0058132F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Ponad 43% powierzchni użytkowej nowych budynków niemieszkalnych, na których budowę wydano pozwolenia dotyczyło budynków przemysłowych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br/>
                              <w:t>i magazynowych</w:t>
                            </w:r>
                          </w:p>
                        </w:txbxContent>
                      </wps:txbx>
                      <wps:bodyPr rot="0" vert="horz" wrap="square" lIns="90000" tIns="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12.55pt;margin-top:8.25pt;width:138.75pt;height:10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" filled="f" stroked="f">
                <v:textbox inset="2.5mm,0">
                  <w:txbxContent>
                    <w:p w:rsidR="0058132F" w:rsidRPr="002A437B" w:rsidRDefault="0058132F" w:rsidP="0058132F">
                      <w:pPr>
                        <w:pStyle w:val="tekstzboku"/>
                        <w:rPr>
                          <w:bCs w:val="0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Ponad 43% powierzchni użytkowej nowych budynków niemieszkalnych, na których budowę wydano pozwolenia dotyczyło budynków przemysłowych</w:t>
                      </w:r>
                      <w:r>
                        <w:rPr>
                          <w:sz w:val="19"/>
                          <w:szCs w:val="19"/>
                        </w:rPr>
                        <w:br/>
                        <w:t>i magazynowych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8132F" w:rsidRPr="000626EE">
        <w:rPr>
          <w:szCs w:val="19"/>
          <w:shd w:val="clear" w:color="auto" w:fill="FFFFFF"/>
        </w:rPr>
        <w:t xml:space="preserve">W </w:t>
      </w:r>
      <w:r w:rsidR="0058132F">
        <w:rPr>
          <w:szCs w:val="19"/>
          <w:shd w:val="clear" w:color="auto" w:fill="FFFFFF"/>
        </w:rPr>
        <w:t xml:space="preserve">I półroczu </w:t>
      </w:r>
      <w:r w:rsidR="0058132F" w:rsidRPr="00E64644">
        <w:rPr>
          <w:szCs w:val="19"/>
          <w:shd w:val="clear" w:color="auto" w:fill="FFFFFF"/>
        </w:rPr>
        <w:t>201</w:t>
      </w:r>
      <w:r w:rsidR="0058132F">
        <w:rPr>
          <w:szCs w:val="19"/>
          <w:shd w:val="clear" w:color="auto" w:fill="FFFFFF"/>
        </w:rPr>
        <w:t xml:space="preserve">8 </w:t>
      </w:r>
      <w:r w:rsidR="0058132F" w:rsidRPr="000626EE">
        <w:rPr>
          <w:szCs w:val="19"/>
          <w:shd w:val="clear" w:color="auto" w:fill="FFFFFF"/>
        </w:rPr>
        <w:t xml:space="preserve">roku wydano pozwolenia na budowę dla </w:t>
      </w:r>
      <w:r w:rsidR="0058132F">
        <w:rPr>
          <w:szCs w:val="19"/>
          <w:shd w:val="clear" w:color="auto" w:fill="FFFFFF"/>
        </w:rPr>
        <w:t>17 474</w:t>
      </w:r>
      <w:r w:rsidR="0058132F" w:rsidRPr="000626EE">
        <w:rPr>
          <w:szCs w:val="19"/>
          <w:shd w:val="clear" w:color="auto" w:fill="FFFFFF"/>
        </w:rPr>
        <w:t xml:space="preserve"> </w:t>
      </w:r>
      <w:r w:rsidR="00673F58">
        <w:rPr>
          <w:szCs w:val="19"/>
          <w:shd w:val="clear" w:color="auto" w:fill="FFFFFF"/>
        </w:rPr>
        <w:t xml:space="preserve">nowych </w:t>
      </w:r>
      <w:r w:rsidR="0058132F" w:rsidRPr="000626EE">
        <w:rPr>
          <w:szCs w:val="19"/>
          <w:shd w:val="clear" w:color="auto" w:fill="FFFFFF"/>
        </w:rPr>
        <w:t>budynk</w:t>
      </w:r>
      <w:r w:rsidR="0058132F">
        <w:rPr>
          <w:szCs w:val="19"/>
          <w:shd w:val="clear" w:color="auto" w:fill="FFFFFF"/>
        </w:rPr>
        <w:t>ów niemieszkalnych o łącznej po</w:t>
      </w:r>
      <w:r w:rsidR="0058132F" w:rsidRPr="000626EE">
        <w:rPr>
          <w:szCs w:val="19"/>
          <w:shd w:val="clear" w:color="auto" w:fill="FFFFFF"/>
        </w:rPr>
        <w:t>wierzchni użytkowej 11</w:t>
      </w:r>
      <w:r w:rsidR="0058132F">
        <w:rPr>
          <w:szCs w:val="19"/>
          <w:shd w:val="clear" w:color="auto" w:fill="FFFFFF"/>
        </w:rPr>
        <w:t> </w:t>
      </w:r>
      <w:r w:rsidR="0058132F" w:rsidRPr="000626EE">
        <w:rPr>
          <w:szCs w:val="19"/>
          <w:shd w:val="clear" w:color="auto" w:fill="FFFFFF"/>
        </w:rPr>
        <w:t>029</w:t>
      </w:r>
      <w:r w:rsidR="0058132F">
        <w:rPr>
          <w:szCs w:val="19"/>
          <w:shd w:val="clear" w:color="auto" w:fill="FFFFFF"/>
        </w:rPr>
        <w:t xml:space="preserve">,3 tys. m². W porównaniu z analogicznym okresem roku poprzedniego dla liczby budynków odnotowano spadek o </w:t>
      </w:r>
      <w:r w:rsidR="004B5745">
        <w:rPr>
          <w:szCs w:val="19"/>
          <w:shd w:val="clear" w:color="auto" w:fill="FFFFFF"/>
        </w:rPr>
        <w:t>7,6</w:t>
      </w:r>
      <w:r w:rsidR="0058132F">
        <w:rPr>
          <w:szCs w:val="19"/>
          <w:shd w:val="clear" w:color="auto" w:fill="FFFFFF"/>
        </w:rPr>
        <w:t>%, nat</w:t>
      </w:r>
      <w:r w:rsidR="004B5745">
        <w:rPr>
          <w:szCs w:val="19"/>
          <w:shd w:val="clear" w:color="auto" w:fill="FFFFFF"/>
        </w:rPr>
        <w:t xml:space="preserve">omiast dla powierzchni </w:t>
      </w:r>
      <w:r w:rsidR="00E827C6">
        <w:rPr>
          <w:szCs w:val="19"/>
          <w:shd w:val="clear" w:color="auto" w:fill="FFFFFF"/>
        </w:rPr>
        <w:t xml:space="preserve">- </w:t>
      </w:r>
      <w:r w:rsidR="004B5745">
        <w:rPr>
          <w:szCs w:val="19"/>
          <w:shd w:val="clear" w:color="auto" w:fill="FFFFFF"/>
        </w:rPr>
        <w:t>wzrost o</w:t>
      </w:r>
      <w:r w:rsidR="0058132F">
        <w:rPr>
          <w:szCs w:val="19"/>
          <w:shd w:val="clear" w:color="auto" w:fill="FFFFFF"/>
        </w:rPr>
        <w:t xml:space="preserve"> 7,2%. Wzrost planowanej do wybudowania powierzchni użytkowanej nowych budynków niemieszkalnych  notowano dla</w:t>
      </w:r>
      <w:r w:rsidR="0058132F" w:rsidRPr="00557601">
        <w:rPr>
          <w:szCs w:val="19"/>
          <w:shd w:val="clear" w:color="auto" w:fill="FFFFFF"/>
        </w:rPr>
        <w:t xml:space="preserve"> </w:t>
      </w:r>
      <w:r w:rsidR="0058132F">
        <w:rPr>
          <w:szCs w:val="19"/>
          <w:shd w:val="clear" w:color="auto" w:fill="FFFFFF"/>
        </w:rPr>
        <w:t>h</w:t>
      </w:r>
      <w:r w:rsidR="0058132F" w:rsidRPr="00557601">
        <w:rPr>
          <w:szCs w:val="19"/>
          <w:shd w:val="clear" w:color="auto" w:fill="FFFFFF"/>
        </w:rPr>
        <w:t>ote</w:t>
      </w:r>
      <w:r w:rsidR="0058132F">
        <w:rPr>
          <w:szCs w:val="19"/>
          <w:shd w:val="clear" w:color="auto" w:fill="FFFFFF"/>
        </w:rPr>
        <w:t>li i budynków</w:t>
      </w:r>
      <w:r w:rsidR="0058132F" w:rsidRPr="00557601">
        <w:rPr>
          <w:szCs w:val="19"/>
          <w:shd w:val="clear" w:color="auto" w:fill="FFFFFF"/>
        </w:rPr>
        <w:t xml:space="preserve"> zakwaterowania turystycznego</w:t>
      </w:r>
      <w:r w:rsidR="0058132F">
        <w:rPr>
          <w:szCs w:val="19"/>
          <w:shd w:val="clear" w:color="auto" w:fill="FFFFFF"/>
        </w:rPr>
        <w:t xml:space="preserve"> (więcej o 79,8%), budynków przemysłowych i magazynowych (22,4%), handlowo-usługowych (11,7%) oraz dla o</w:t>
      </w:r>
      <w:r w:rsidR="0058132F" w:rsidRPr="00557601">
        <w:rPr>
          <w:szCs w:val="19"/>
          <w:shd w:val="clear" w:color="auto" w:fill="FFFFFF"/>
        </w:rPr>
        <w:t>gólnodostępn</w:t>
      </w:r>
      <w:r w:rsidR="0058132F">
        <w:rPr>
          <w:szCs w:val="19"/>
          <w:shd w:val="clear" w:color="auto" w:fill="FFFFFF"/>
        </w:rPr>
        <w:t>ych obiektów kulturalnych</w:t>
      </w:r>
      <w:r w:rsidR="00673F58">
        <w:rPr>
          <w:szCs w:val="19"/>
          <w:shd w:val="clear" w:color="auto" w:fill="FFFFFF"/>
        </w:rPr>
        <w:t>, budynków</w:t>
      </w:r>
      <w:r w:rsidR="0058132F" w:rsidRPr="00557601">
        <w:rPr>
          <w:szCs w:val="19"/>
          <w:shd w:val="clear" w:color="auto" w:fill="FFFFFF"/>
        </w:rPr>
        <w:t xml:space="preserve"> o </w:t>
      </w:r>
      <w:r w:rsidR="00673F58">
        <w:rPr>
          <w:szCs w:val="19"/>
          <w:shd w:val="clear" w:color="auto" w:fill="FFFFFF"/>
        </w:rPr>
        <w:t>charakterze edukacyjnym, budynków</w:t>
      </w:r>
      <w:r w:rsidR="0058132F" w:rsidRPr="00557601">
        <w:rPr>
          <w:szCs w:val="19"/>
          <w:shd w:val="clear" w:color="auto" w:fill="FFFFFF"/>
        </w:rPr>
        <w:t xml:space="preserve"> szpitali i zakład</w:t>
      </w:r>
      <w:r w:rsidR="00673F58">
        <w:rPr>
          <w:szCs w:val="19"/>
          <w:shd w:val="clear" w:color="auto" w:fill="FFFFFF"/>
        </w:rPr>
        <w:t>ów opieki medycznej oraz budynków</w:t>
      </w:r>
      <w:r w:rsidR="0058132F" w:rsidRPr="00557601">
        <w:rPr>
          <w:szCs w:val="19"/>
          <w:shd w:val="clear" w:color="auto" w:fill="FFFFFF"/>
        </w:rPr>
        <w:t xml:space="preserve"> kultury fizycznej</w:t>
      </w:r>
      <w:r w:rsidR="0058132F">
        <w:rPr>
          <w:szCs w:val="19"/>
          <w:shd w:val="clear" w:color="auto" w:fill="FFFFFF"/>
        </w:rPr>
        <w:t xml:space="preserve"> (4,1%). W strukturze powierzchni użytkowej nowych budynków, na budowę których wydano pozwolenia dominowały budynki przemysłowe i magazynowe</w:t>
      </w:r>
      <w:r w:rsidR="0058132F" w:rsidRPr="00E64644">
        <w:rPr>
          <w:szCs w:val="19"/>
          <w:shd w:val="clear" w:color="auto" w:fill="FFFFFF"/>
        </w:rPr>
        <w:t xml:space="preserve"> </w:t>
      </w:r>
      <w:r w:rsidR="0058132F">
        <w:rPr>
          <w:szCs w:val="19"/>
          <w:shd w:val="clear" w:color="auto" w:fill="FFFFFF"/>
        </w:rPr>
        <w:t>(43,3</w:t>
      </w:r>
      <w:r w:rsidR="0058132F" w:rsidRPr="00E64644">
        <w:rPr>
          <w:szCs w:val="19"/>
          <w:shd w:val="clear" w:color="auto" w:fill="FFFFFF"/>
        </w:rPr>
        <w:t>%</w:t>
      </w:r>
      <w:r w:rsidR="0058132F">
        <w:rPr>
          <w:szCs w:val="19"/>
          <w:shd w:val="clear" w:color="auto" w:fill="FFFFFF"/>
        </w:rPr>
        <w:t>) oraz pozostałe budynki niemieszkalne (21,9</w:t>
      </w:r>
      <w:r w:rsidR="0058132F" w:rsidRPr="00E64644">
        <w:rPr>
          <w:szCs w:val="19"/>
          <w:shd w:val="clear" w:color="auto" w:fill="FFFFFF"/>
        </w:rPr>
        <w:t>%</w:t>
      </w:r>
      <w:r w:rsidR="0058132F">
        <w:rPr>
          <w:szCs w:val="19"/>
          <w:shd w:val="clear" w:color="auto" w:fill="FFFFFF"/>
        </w:rPr>
        <w:t>).</w:t>
      </w:r>
    </w:p>
    <w:p w:rsidR="0064104F" w:rsidRPr="00F428FB" w:rsidRDefault="00040AA0" w:rsidP="0058132F">
      <w:pPr>
        <w:pStyle w:val="tytuwykresu"/>
        <w:tabs>
          <w:tab w:val="left" w:pos="992"/>
        </w:tabs>
        <w:ind w:left="992" w:hanging="992"/>
        <w:rPr>
          <w:color w:val="2D3A55"/>
          <w:shd w:val="clear" w:color="auto" w:fill="FFFFFF"/>
        </w:rPr>
      </w:pPr>
      <w:r>
        <w:rPr>
          <w:noProof/>
          <w:color w:val="2D3A55"/>
          <w:lang w:eastAsia="pl-PL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356870</wp:posOffset>
            </wp:positionV>
            <wp:extent cx="5118100" cy="2250440"/>
            <wp:effectExtent l="0" t="0" r="6350" b="0"/>
            <wp:wrapTopAndBottom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32F" w:rsidRPr="0058132F">
        <w:rPr>
          <w:sz w:val="19"/>
          <w:szCs w:val="19"/>
        </w:rPr>
        <w:t>Wykres 3.</w:t>
      </w:r>
      <w:r w:rsidR="0058132F" w:rsidRPr="0058132F">
        <w:rPr>
          <w:sz w:val="19"/>
          <w:szCs w:val="19"/>
        </w:rPr>
        <w:tab/>
        <w:t xml:space="preserve">Struktura powierzchni użytkowej nowych budynków niemieszkalnych, na których budowę wydano pozwolenia w I półroczu </w:t>
      </w:r>
      <w:r w:rsidR="0071624F">
        <w:rPr>
          <w:sz w:val="19"/>
          <w:szCs w:val="19"/>
        </w:rPr>
        <w:t xml:space="preserve">2018 r. </w:t>
      </w:r>
      <w:r w:rsidR="0058132F" w:rsidRPr="00D13E4D">
        <w:rPr>
          <w:b w:val="0"/>
          <w:szCs w:val="19"/>
          <w:shd w:val="clear" w:color="auto" w:fill="FFFFFF"/>
        </w:rPr>
        <w:t xml:space="preserve"> </w:t>
      </w:r>
    </w:p>
    <w:p w:rsidR="00E46149" w:rsidRPr="0058132F" w:rsidRDefault="00040AA0" w:rsidP="00A3002B">
      <w:pPr>
        <w:pStyle w:val="tytuwykresu"/>
        <w:jc w:val="both"/>
        <w:rPr>
          <w:b w:val="0"/>
          <w:spacing w:val="0"/>
          <w:sz w:val="19"/>
          <w:szCs w:val="19"/>
          <w:shd w:val="clear" w:color="auto" w:fill="FFFFFF"/>
        </w:rPr>
      </w:pPr>
      <w:r w:rsidRPr="0058132F">
        <w:rPr>
          <w:b w:val="0"/>
          <w:noProof/>
          <w:spacing w:val="0"/>
          <w:sz w:val="19"/>
          <w:szCs w:val="19"/>
          <w:shd w:val="clear" w:color="auto" w:fill="FFFFFF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0</wp:posOffset>
                </wp:positionV>
                <wp:extent cx="1818640" cy="1466850"/>
                <wp:effectExtent l="0" t="0" r="0" b="0"/>
                <wp:wrapTight wrapText="bothSides">
                  <wp:wrapPolygon edited="0">
                    <wp:start x="0" y="0"/>
                    <wp:lineTo x="0" y="21319"/>
                    <wp:lineTo x="20816" y="21319"/>
                    <wp:lineTo x="20816" y="0"/>
                    <wp:lineTo x="0" y="0"/>
                  </wp:wrapPolygon>
                </wp:wrapTight>
                <wp:docPr id="13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04F" w:rsidRPr="002A437B" w:rsidRDefault="00F43718" w:rsidP="00076474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 w:rsidRPr="00F43718">
                              <w:rPr>
                                <w:sz w:val="19"/>
                                <w:szCs w:val="19"/>
                              </w:rPr>
                              <w:t>Powierzchn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ia użytkowa nowych budynków nie</w:t>
                            </w:r>
                            <w:r w:rsidRPr="00F43718">
                              <w:rPr>
                                <w:sz w:val="19"/>
                                <w:szCs w:val="19"/>
                              </w:rPr>
                              <w:t xml:space="preserve">mieszkalnych, </w:t>
                            </w:r>
                            <w:r w:rsidR="009A5631">
                              <w:rPr>
                                <w:sz w:val="19"/>
                                <w:szCs w:val="19"/>
                              </w:rPr>
                              <w:br/>
                            </w:r>
                            <w:r w:rsidRPr="00F43718">
                              <w:rPr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a których budowę wydano pozwolenia w województwie mazo</w:t>
                            </w:r>
                            <w:r w:rsidRPr="00F43718">
                              <w:rPr>
                                <w:sz w:val="19"/>
                                <w:szCs w:val="19"/>
                              </w:rPr>
                              <w:t>wieckim, wielkopolskim i</w:t>
                            </w:r>
                            <w:r w:rsidR="009A5631">
                              <w:rPr>
                                <w:sz w:val="19"/>
                                <w:szCs w:val="19"/>
                              </w:rPr>
                              <w:t> </w:t>
                            </w:r>
                            <w:r w:rsidRPr="00F43718">
                              <w:rPr>
                                <w:sz w:val="19"/>
                                <w:szCs w:val="19"/>
                              </w:rPr>
                              <w:t>łódzkim stanowiła</w:t>
                            </w:r>
                            <w:r w:rsidR="009A5631">
                              <w:rPr>
                                <w:sz w:val="19"/>
                                <w:szCs w:val="19"/>
                              </w:rPr>
                              <w:t xml:space="preserve"> prawie 42% ogółu planowanej do</w:t>
                            </w:r>
                            <w:r w:rsidR="009A5631">
                              <w:rPr>
                                <w:sz w:val="19"/>
                                <w:szCs w:val="19"/>
                              </w:rPr>
                              <w:br/>
                            </w:r>
                            <w:r w:rsidRPr="00F43718">
                              <w:rPr>
                                <w:sz w:val="19"/>
                                <w:szCs w:val="19"/>
                              </w:rPr>
                              <w:t>wybudowania powierzchni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412.2pt;margin-top:0;width:143.2pt;height:115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" filled="f" stroked="f">
                <v:textbox inset="0,0,,0">
                  <w:txbxContent>
                    <w:p w:rsidR="0064104F" w:rsidRPr="002A437B" w:rsidRDefault="00F43718" w:rsidP="00076474">
                      <w:pPr>
                        <w:pStyle w:val="tekstzboku"/>
                        <w:rPr>
                          <w:bCs w:val="0"/>
                        </w:rPr>
                      </w:pPr>
                      <w:r w:rsidRPr="00F43718">
                        <w:rPr>
                          <w:sz w:val="19"/>
                          <w:szCs w:val="19"/>
                        </w:rPr>
                        <w:t>Powierzchn</w:t>
                      </w:r>
                      <w:r>
                        <w:rPr>
                          <w:sz w:val="19"/>
                          <w:szCs w:val="19"/>
                        </w:rPr>
                        <w:t>ia użytkowa nowych budynków nie</w:t>
                      </w:r>
                      <w:r w:rsidRPr="00F43718">
                        <w:rPr>
                          <w:sz w:val="19"/>
                          <w:szCs w:val="19"/>
                        </w:rPr>
                        <w:t xml:space="preserve">mieszkalnych, </w:t>
                      </w:r>
                      <w:r w:rsidR="009A5631">
                        <w:rPr>
                          <w:sz w:val="19"/>
                          <w:szCs w:val="19"/>
                        </w:rPr>
                        <w:br/>
                      </w:r>
                      <w:r w:rsidRPr="00F43718">
                        <w:rPr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sz w:val="19"/>
                          <w:szCs w:val="19"/>
                        </w:rPr>
                        <w:t>a których budowę wydano pozwolenia w województwie mazo</w:t>
                      </w:r>
                      <w:r w:rsidRPr="00F43718">
                        <w:rPr>
                          <w:sz w:val="19"/>
                          <w:szCs w:val="19"/>
                        </w:rPr>
                        <w:t>wieckim, wielkopolskim i</w:t>
                      </w:r>
                      <w:r w:rsidR="009A5631">
                        <w:rPr>
                          <w:sz w:val="19"/>
                          <w:szCs w:val="19"/>
                        </w:rPr>
                        <w:t> </w:t>
                      </w:r>
                      <w:r w:rsidRPr="00F43718">
                        <w:rPr>
                          <w:sz w:val="19"/>
                          <w:szCs w:val="19"/>
                        </w:rPr>
                        <w:t>łódzkim stanowiła</w:t>
                      </w:r>
                      <w:r w:rsidR="009A5631">
                        <w:rPr>
                          <w:sz w:val="19"/>
                          <w:szCs w:val="19"/>
                        </w:rPr>
                        <w:t xml:space="preserve"> prawie 42% ogółu planowanej do</w:t>
                      </w:r>
                      <w:r w:rsidR="009A5631">
                        <w:rPr>
                          <w:sz w:val="19"/>
                          <w:szCs w:val="19"/>
                        </w:rPr>
                        <w:br/>
                      </w:r>
                      <w:r w:rsidRPr="00F43718">
                        <w:rPr>
                          <w:sz w:val="19"/>
                          <w:szCs w:val="19"/>
                        </w:rPr>
                        <w:t>wybudowania powierzchni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8132F" w:rsidRPr="0058132F">
        <w:rPr>
          <w:b w:val="0"/>
          <w:spacing w:val="0"/>
          <w:sz w:val="19"/>
          <w:szCs w:val="19"/>
          <w:shd w:val="clear" w:color="auto" w:fill="FFFFFF"/>
        </w:rPr>
        <w:t>Według pozwoleń wydanych w I półroczu 2018 r. największą powierzchnię nowych budynków niemieszkalnych planuje się wybudować w województwach: mazowieckim (1 833,8 tys. m</w:t>
      </w:r>
      <w:r w:rsidR="0058132F" w:rsidRPr="00BD6EC5">
        <w:rPr>
          <w:b w:val="0"/>
          <w:spacing w:val="0"/>
          <w:sz w:val="19"/>
          <w:szCs w:val="19"/>
          <w:shd w:val="clear" w:color="auto" w:fill="FFFFFF"/>
          <w:vertAlign w:val="superscript"/>
        </w:rPr>
        <w:t>2</w:t>
      </w:r>
      <w:r w:rsidR="0058132F" w:rsidRPr="0058132F">
        <w:rPr>
          <w:b w:val="0"/>
          <w:spacing w:val="0"/>
          <w:sz w:val="19"/>
          <w:szCs w:val="19"/>
          <w:shd w:val="clear" w:color="auto" w:fill="FFFFFF"/>
        </w:rPr>
        <w:t>), wielkopolskim (1 675,7 tys. m</w:t>
      </w:r>
      <w:r w:rsidR="0058132F" w:rsidRPr="00BD6EC5">
        <w:rPr>
          <w:b w:val="0"/>
          <w:spacing w:val="0"/>
          <w:sz w:val="19"/>
          <w:szCs w:val="19"/>
          <w:shd w:val="clear" w:color="auto" w:fill="FFFFFF"/>
          <w:vertAlign w:val="superscript"/>
        </w:rPr>
        <w:t>2</w:t>
      </w:r>
      <w:r w:rsidR="0058132F" w:rsidRPr="0058132F">
        <w:rPr>
          <w:b w:val="0"/>
          <w:spacing w:val="0"/>
          <w:sz w:val="19"/>
          <w:szCs w:val="19"/>
          <w:shd w:val="clear" w:color="auto" w:fill="FFFFFF"/>
        </w:rPr>
        <w:t>) i łódzkim (1 102,1 tys. m</w:t>
      </w:r>
      <w:r w:rsidR="0058132F" w:rsidRPr="00BD6EC5">
        <w:rPr>
          <w:b w:val="0"/>
          <w:spacing w:val="0"/>
          <w:sz w:val="19"/>
          <w:szCs w:val="19"/>
          <w:shd w:val="clear" w:color="auto" w:fill="FFFFFF"/>
          <w:vertAlign w:val="superscript"/>
        </w:rPr>
        <w:t>2</w:t>
      </w:r>
      <w:r w:rsidR="0058132F" w:rsidRPr="0058132F">
        <w:rPr>
          <w:b w:val="0"/>
          <w:spacing w:val="0"/>
          <w:sz w:val="19"/>
          <w:szCs w:val="19"/>
          <w:shd w:val="clear" w:color="auto" w:fill="FFFFFF"/>
        </w:rPr>
        <w:t>), najmniejszą zaś w opolskim (158,3 tys.</w:t>
      </w:r>
      <w:r w:rsidR="00BD6EC5">
        <w:rPr>
          <w:b w:val="0"/>
          <w:spacing w:val="0"/>
          <w:sz w:val="19"/>
          <w:szCs w:val="19"/>
          <w:shd w:val="clear" w:color="auto" w:fill="FFFFFF"/>
        </w:rPr>
        <w:t> </w:t>
      </w:r>
      <w:r w:rsidR="0058132F" w:rsidRPr="0058132F">
        <w:rPr>
          <w:b w:val="0"/>
          <w:spacing w:val="0"/>
          <w:sz w:val="19"/>
          <w:szCs w:val="19"/>
          <w:shd w:val="clear" w:color="auto" w:fill="FFFFFF"/>
        </w:rPr>
        <w:t>m</w:t>
      </w:r>
      <w:r w:rsidR="0058132F" w:rsidRPr="00BD6EC5">
        <w:rPr>
          <w:b w:val="0"/>
          <w:spacing w:val="0"/>
          <w:sz w:val="19"/>
          <w:szCs w:val="19"/>
          <w:shd w:val="clear" w:color="auto" w:fill="FFFFFF"/>
          <w:vertAlign w:val="superscript"/>
        </w:rPr>
        <w:t>2</w:t>
      </w:r>
      <w:r w:rsidR="0058132F" w:rsidRPr="0058132F">
        <w:rPr>
          <w:b w:val="0"/>
          <w:spacing w:val="0"/>
          <w:sz w:val="19"/>
          <w:szCs w:val="19"/>
          <w:shd w:val="clear" w:color="auto" w:fill="FFFFFF"/>
        </w:rPr>
        <w:t>), lubuskim (258,8 tys. m</w:t>
      </w:r>
      <w:r w:rsidR="0058132F" w:rsidRPr="00BD6EC5">
        <w:rPr>
          <w:b w:val="0"/>
          <w:spacing w:val="0"/>
          <w:sz w:val="19"/>
          <w:szCs w:val="19"/>
          <w:shd w:val="clear" w:color="auto" w:fill="FFFFFF"/>
          <w:vertAlign w:val="superscript"/>
        </w:rPr>
        <w:t>2</w:t>
      </w:r>
      <w:r w:rsidR="0058132F" w:rsidRPr="0058132F">
        <w:rPr>
          <w:b w:val="0"/>
          <w:spacing w:val="0"/>
          <w:sz w:val="19"/>
          <w:szCs w:val="19"/>
          <w:shd w:val="clear" w:color="auto" w:fill="FFFFFF"/>
        </w:rPr>
        <w:t>) oraz świętokrzyskim (263,5 tys. m</w:t>
      </w:r>
      <w:r w:rsidR="0058132F" w:rsidRPr="00BD6EC5">
        <w:rPr>
          <w:b w:val="0"/>
          <w:spacing w:val="0"/>
          <w:sz w:val="19"/>
          <w:szCs w:val="19"/>
          <w:shd w:val="clear" w:color="auto" w:fill="FFFFFF"/>
          <w:vertAlign w:val="superscript"/>
        </w:rPr>
        <w:t>2</w:t>
      </w:r>
      <w:r w:rsidR="0058132F" w:rsidRPr="0058132F">
        <w:rPr>
          <w:b w:val="0"/>
          <w:spacing w:val="0"/>
          <w:sz w:val="19"/>
          <w:szCs w:val="19"/>
          <w:shd w:val="clear" w:color="auto" w:fill="FFFFFF"/>
        </w:rPr>
        <w:t>). Największy wzrost planowanej do wybudowania powierzchni w stosunku do analogicznego okresu roku poprzedniego zanotowano w województwie łódzkim (o 62,9%), warmińsko-mazurskim (</w:t>
      </w:r>
      <w:r w:rsidR="001C52A0">
        <w:rPr>
          <w:b w:val="0"/>
          <w:spacing w:val="0"/>
          <w:sz w:val="19"/>
          <w:szCs w:val="19"/>
          <w:shd w:val="clear" w:color="auto" w:fill="FFFFFF"/>
        </w:rPr>
        <w:t xml:space="preserve">o </w:t>
      </w:r>
      <w:r w:rsidR="0058132F" w:rsidRPr="0058132F">
        <w:rPr>
          <w:b w:val="0"/>
          <w:spacing w:val="0"/>
          <w:sz w:val="19"/>
          <w:szCs w:val="19"/>
          <w:shd w:val="clear" w:color="auto" w:fill="FFFFFF"/>
        </w:rPr>
        <w:t>37,0%) oraz podlaskim (o 32,8%).</w:t>
      </w:r>
    </w:p>
    <w:p w:rsidR="00B14936" w:rsidRPr="00D13E4D" w:rsidRDefault="00F43718" w:rsidP="00230C53">
      <w:pPr>
        <w:ind w:left="992" w:hanging="992"/>
        <w:rPr>
          <w:b/>
          <w:szCs w:val="19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389890</wp:posOffset>
            </wp:positionV>
            <wp:extent cx="5118100" cy="3517900"/>
            <wp:effectExtent l="0" t="0" r="6350" b="6350"/>
            <wp:wrapTopAndBottom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32F">
        <w:rPr>
          <w:b/>
          <w:szCs w:val="19"/>
          <w:shd w:val="clear" w:color="auto" w:fill="FFFFFF"/>
        </w:rPr>
        <w:t>Wykres 4</w:t>
      </w:r>
      <w:r w:rsidR="0064104F" w:rsidRPr="00D13E4D">
        <w:rPr>
          <w:b/>
          <w:szCs w:val="19"/>
          <w:shd w:val="clear" w:color="auto" w:fill="FFFFFF"/>
        </w:rPr>
        <w:t>.</w:t>
      </w:r>
      <w:r w:rsidR="00230C53">
        <w:rPr>
          <w:b/>
          <w:szCs w:val="19"/>
          <w:shd w:val="clear" w:color="auto" w:fill="FFFFFF"/>
        </w:rPr>
        <w:tab/>
      </w:r>
      <w:r w:rsidR="0058132F" w:rsidRPr="0058132F">
        <w:rPr>
          <w:b/>
          <w:spacing w:val="-2"/>
          <w:szCs w:val="19"/>
        </w:rPr>
        <w:t>Powierzchnia użytkowa nowych budynków niemieszkalnych, na których budowę wydano pozwolenia w I półroczu 2018 r. według województw</w:t>
      </w:r>
      <w:bookmarkStart w:id="0" w:name="_GoBack"/>
      <w:bookmarkEnd w:id="0"/>
    </w:p>
    <w:p w:rsidR="00F43718" w:rsidRDefault="00F43718" w:rsidP="00F43718">
      <w:pPr>
        <w:jc w:val="both"/>
        <w:rPr>
          <w:color w:val="000000"/>
          <w:szCs w:val="19"/>
        </w:rPr>
      </w:pPr>
      <w:r w:rsidRPr="00E64644">
        <w:rPr>
          <w:color w:val="000000"/>
          <w:szCs w:val="19"/>
        </w:rPr>
        <w:t xml:space="preserve">Ponadto </w:t>
      </w:r>
      <w:r>
        <w:rPr>
          <w:color w:val="000000"/>
          <w:szCs w:val="19"/>
        </w:rPr>
        <w:t xml:space="preserve">w I półroczu </w:t>
      </w:r>
      <w:r w:rsidRPr="00E64644">
        <w:rPr>
          <w:color w:val="000000"/>
          <w:szCs w:val="19"/>
        </w:rPr>
        <w:t>201</w:t>
      </w:r>
      <w:r>
        <w:rPr>
          <w:color w:val="000000"/>
          <w:szCs w:val="19"/>
        </w:rPr>
        <w:t>8</w:t>
      </w:r>
      <w:r w:rsidRPr="00E64644">
        <w:rPr>
          <w:color w:val="000000"/>
          <w:szCs w:val="19"/>
        </w:rPr>
        <w:t xml:space="preserve"> r. wydano </w:t>
      </w:r>
      <w:r>
        <w:rPr>
          <w:color w:val="000000"/>
          <w:szCs w:val="19"/>
        </w:rPr>
        <w:t xml:space="preserve">23 152 </w:t>
      </w:r>
      <w:r w:rsidRPr="00E64644">
        <w:rPr>
          <w:color w:val="000000"/>
          <w:szCs w:val="19"/>
        </w:rPr>
        <w:t>pozwole</w:t>
      </w:r>
      <w:r>
        <w:rPr>
          <w:color w:val="000000"/>
          <w:szCs w:val="19"/>
        </w:rPr>
        <w:t>nia</w:t>
      </w:r>
      <w:r w:rsidRPr="00E64644">
        <w:rPr>
          <w:color w:val="000000"/>
          <w:szCs w:val="19"/>
        </w:rPr>
        <w:t xml:space="preserve"> na budowę</w:t>
      </w:r>
      <w:r>
        <w:rPr>
          <w:color w:val="000000"/>
          <w:szCs w:val="19"/>
        </w:rPr>
        <w:t xml:space="preserve"> lub dokonano zgłoszenia z projektem budowlanym </w:t>
      </w:r>
      <w:r w:rsidR="00B5616E">
        <w:rPr>
          <w:color w:val="000000"/>
          <w:szCs w:val="19"/>
        </w:rPr>
        <w:t xml:space="preserve">budowy </w:t>
      </w:r>
      <w:r>
        <w:rPr>
          <w:color w:val="000000"/>
          <w:szCs w:val="19"/>
        </w:rPr>
        <w:t>nowych</w:t>
      </w:r>
      <w:r w:rsidRPr="00E64644">
        <w:rPr>
          <w:color w:val="000000"/>
          <w:szCs w:val="19"/>
        </w:rPr>
        <w:t xml:space="preserve"> obiektów inżynierii lądowej i wodnej</w:t>
      </w:r>
      <w:r>
        <w:rPr>
          <w:color w:val="000000"/>
          <w:szCs w:val="19"/>
        </w:rPr>
        <w:t xml:space="preserve">, co stanowi wzrost o 4,7% w stosunku do I półrocza </w:t>
      </w:r>
      <w:r w:rsidRPr="00E64644">
        <w:rPr>
          <w:color w:val="000000"/>
          <w:szCs w:val="19"/>
        </w:rPr>
        <w:t>201</w:t>
      </w:r>
      <w:r>
        <w:rPr>
          <w:color w:val="000000"/>
          <w:szCs w:val="19"/>
        </w:rPr>
        <w:t>7 roku</w:t>
      </w:r>
      <w:r w:rsidRPr="00E64644">
        <w:rPr>
          <w:color w:val="000000"/>
          <w:szCs w:val="19"/>
        </w:rPr>
        <w:t>.</w:t>
      </w:r>
    </w:p>
    <w:p w:rsidR="00CE04C2" w:rsidRPr="00F11A4E" w:rsidRDefault="00CE04C2" w:rsidP="00F43718">
      <w:pPr>
        <w:jc w:val="both"/>
        <w:rPr>
          <w:color w:val="000000"/>
          <w:szCs w:val="19"/>
        </w:rPr>
      </w:pPr>
    </w:p>
    <w:tbl>
      <w:tblPr>
        <w:tblpPr w:leftFromText="141" w:rightFromText="141" w:vertAnchor="text" w:horzAnchor="margin" w:tblpY="552"/>
        <w:tblW w:w="0" w:type="auto"/>
        <w:tblLook w:val="00A0" w:firstRow="1" w:lastRow="0" w:firstColumn="1" w:lastColumn="0" w:noHBand="0" w:noVBand="0"/>
      </w:tblPr>
      <w:tblGrid>
        <w:gridCol w:w="4249"/>
        <w:gridCol w:w="3818"/>
      </w:tblGrid>
      <w:tr w:rsidR="0071624F" w:rsidRPr="00A109B4" w:rsidTr="0071624F">
        <w:trPr>
          <w:trHeight w:val="1912"/>
        </w:trPr>
        <w:tc>
          <w:tcPr>
            <w:tcW w:w="4249" w:type="dxa"/>
          </w:tcPr>
          <w:p w:rsidR="0071624F" w:rsidRDefault="0071624F" w:rsidP="0071624F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71624F" w:rsidRDefault="0071624F" w:rsidP="0071624F">
            <w:pPr>
              <w:spacing w:before="0" w:after="0"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US LUBLIN</w:t>
            </w:r>
          </w:p>
          <w:p w:rsidR="0071624F" w:rsidRDefault="0071624F" w:rsidP="0071624F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Zofia Kurlej</w:t>
            </w:r>
          </w:p>
          <w:p w:rsidR="0071624F" w:rsidRPr="00EF37B7" w:rsidRDefault="0071624F" w:rsidP="0071624F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EF37B7">
              <w:rPr>
                <w:rFonts w:ascii="Fira Sans" w:hAnsi="Fira Sans" w:cs="Arial"/>
                <w:color w:val="auto"/>
                <w:sz w:val="20"/>
                <w:lang w:val="fi-FI"/>
              </w:rPr>
              <w:t>Tel: 81 5332301</w:t>
            </w:r>
          </w:p>
          <w:p w:rsidR="0071624F" w:rsidRPr="00ED7F24" w:rsidRDefault="0071624F" w:rsidP="0071624F">
            <w:pPr>
              <w:pStyle w:val="Nagwek3"/>
              <w:spacing w:before="0" w:line="240" w:lineRule="auto"/>
              <w:rPr>
                <w:rFonts w:ascii="Fira Sans" w:hAnsi="Fira Sans"/>
                <w:color w:val="000000"/>
                <w:lang w:val="fi-FI" w:eastAsia="en-US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6" w:history="1">
              <w:r>
                <w:rPr>
                  <w:rStyle w:val="Hipercze"/>
                  <w:rFonts w:cs="Arial"/>
                  <w:b/>
                  <w:sz w:val="20"/>
                  <w:szCs w:val="20"/>
                  <w:lang w:val="en-US"/>
                </w:rPr>
                <w:t>Z.Kurlej@stat.gov.pl</w:t>
              </w:r>
            </w:hyperlink>
          </w:p>
        </w:tc>
        <w:tc>
          <w:tcPr>
            <w:tcW w:w="3818" w:type="dxa"/>
          </w:tcPr>
          <w:p w:rsidR="0071624F" w:rsidRPr="0050555C" w:rsidRDefault="0071624F" w:rsidP="0071624F">
            <w:pPr>
              <w:spacing w:before="0" w:after="0" w:line="276" w:lineRule="auto"/>
              <w:rPr>
                <w:rFonts w:cs="Arial"/>
                <w:b/>
                <w:color w:val="000000"/>
                <w:sz w:val="20"/>
              </w:rPr>
            </w:pPr>
            <w:r w:rsidRPr="0050555C">
              <w:rPr>
                <w:rFonts w:cs="Arial"/>
                <w:color w:val="000000"/>
                <w:sz w:val="20"/>
              </w:rPr>
              <w:t>Rozpowszechnianie:</w:t>
            </w:r>
            <w:r w:rsidRPr="0050555C">
              <w:rPr>
                <w:rFonts w:cs="Arial"/>
                <w:color w:val="000000"/>
                <w:sz w:val="20"/>
              </w:rPr>
              <w:br/>
            </w:r>
            <w:r w:rsidRPr="0050555C">
              <w:rPr>
                <w:rFonts w:cs="Arial"/>
                <w:b/>
                <w:color w:val="000000"/>
                <w:sz w:val="20"/>
              </w:rPr>
              <w:t>Rzecznik Prasowy Prezesa GUS</w:t>
            </w:r>
          </w:p>
          <w:p w:rsidR="0071624F" w:rsidRPr="00ED7F24" w:rsidRDefault="0071624F" w:rsidP="0071624F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  <w:lang w:eastAsia="en-US"/>
              </w:rPr>
            </w:pPr>
            <w:r w:rsidRPr="00ED7F24">
              <w:rPr>
                <w:rFonts w:ascii="Fira Sans" w:hAnsi="Fira Sans" w:cs="Arial"/>
                <w:b/>
                <w:color w:val="000000"/>
                <w:sz w:val="20"/>
                <w:szCs w:val="28"/>
                <w:lang w:eastAsia="en-US"/>
              </w:rPr>
              <w:t>Karolina Dawidziuk</w:t>
            </w:r>
          </w:p>
          <w:p w:rsidR="0071624F" w:rsidRPr="00ED7F24" w:rsidRDefault="0071624F" w:rsidP="0071624F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 w:eastAsia="en-US"/>
              </w:rPr>
            </w:pPr>
            <w:r w:rsidRPr="00ED7F24">
              <w:rPr>
                <w:rFonts w:ascii="Fira Sans" w:hAnsi="Fira Sans" w:cs="Arial"/>
                <w:color w:val="000000"/>
                <w:sz w:val="20"/>
                <w:lang w:val="fi-FI" w:eastAsia="en-US"/>
              </w:rPr>
              <w:t>Tel: 22 608 3475, 22 608 3009</w:t>
            </w:r>
          </w:p>
          <w:p w:rsidR="0071624F" w:rsidRPr="00ED7F24" w:rsidRDefault="0071624F" w:rsidP="0071624F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szCs w:val="20"/>
                <w:lang w:val="en-US" w:eastAsia="en-US"/>
              </w:rPr>
            </w:pPr>
            <w:r w:rsidRPr="00ED7F24">
              <w:rPr>
                <w:rFonts w:ascii="Fira Sans" w:hAnsi="Fira Sans" w:cs="Arial"/>
                <w:b/>
                <w:color w:val="000000"/>
                <w:sz w:val="20"/>
                <w:szCs w:val="20"/>
                <w:lang w:val="en-US" w:eastAsia="en-US"/>
              </w:rPr>
              <w:t xml:space="preserve">e-mail: </w:t>
            </w:r>
            <w:hyperlink r:id="rId17" w:history="1">
              <w:r w:rsidRPr="00ED7F24">
                <w:rPr>
                  <w:rStyle w:val="Hipercze"/>
                  <w:rFonts w:ascii="Fira Sans" w:hAnsi="Fira Sans" w:cs="Arial"/>
                  <w:b/>
                  <w:color w:val="000000"/>
                  <w:sz w:val="20"/>
                  <w:szCs w:val="20"/>
                  <w:lang w:val="en-US" w:eastAsia="en-US"/>
                </w:rPr>
                <w:t>rzecznik@stat.gov.pl</w:t>
              </w:r>
            </w:hyperlink>
          </w:p>
        </w:tc>
      </w:tr>
    </w:tbl>
    <w:tbl>
      <w:tblPr>
        <w:tblpPr w:leftFromText="141" w:rightFromText="141" w:vertAnchor="text" w:horzAnchor="margin" w:tblpY="2434"/>
        <w:tblW w:w="5000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390"/>
        <w:gridCol w:w="595"/>
        <w:gridCol w:w="3082"/>
      </w:tblGrid>
      <w:tr w:rsidR="0071624F" w:rsidRPr="0050555C" w:rsidTr="0071624F">
        <w:trPr>
          <w:trHeight w:val="610"/>
        </w:trPr>
        <w:tc>
          <w:tcPr>
            <w:tcW w:w="2721" w:type="pct"/>
            <w:vMerge w:val="restart"/>
            <w:vAlign w:val="center"/>
          </w:tcPr>
          <w:p w:rsidR="0071624F" w:rsidRPr="0050555C" w:rsidRDefault="0071624F" w:rsidP="0071624F">
            <w:pPr>
              <w:rPr>
                <w:b/>
                <w:sz w:val="20"/>
              </w:rPr>
            </w:pPr>
            <w:r w:rsidRPr="0050555C">
              <w:rPr>
                <w:b/>
                <w:sz w:val="20"/>
              </w:rPr>
              <w:t xml:space="preserve">Wydział Współpracy z Mediami </w:t>
            </w:r>
          </w:p>
          <w:p w:rsidR="0071624F" w:rsidRPr="0050555C" w:rsidRDefault="0071624F" w:rsidP="0071624F">
            <w:pPr>
              <w:rPr>
                <w:sz w:val="20"/>
              </w:rPr>
            </w:pPr>
            <w:r w:rsidRPr="0050555C">
              <w:rPr>
                <w:b/>
                <w:sz w:val="20"/>
              </w:rPr>
              <w:t xml:space="preserve">tel.: </w:t>
            </w:r>
            <w:r w:rsidRPr="0050555C">
              <w:rPr>
                <w:sz w:val="20"/>
              </w:rPr>
              <w:t xml:space="preserve">+48 22 608 34 91, +48 22 608 38 04 </w:t>
            </w:r>
          </w:p>
          <w:p w:rsidR="0071624F" w:rsidRPr="0050555C" w:rsidRDefault="0071624F" w:rsidP="0071624F">
            <w:pPr>
              <w:rPr>
                <w:sz w:val="20"/>
                <w:lang w:val="en-US"/>
              </w:rPr>
            </w:pPr>
            <w:proofErr w:type="spellStart"/>
            <w:r w:rsidRPr="0050555C">
              <w:rPr>
                <w:b/>
                <w:sz w:val="20"/>
                <w:lang w:val="en-US"/>
              </w:rPr>
              <w:t>faks</w:t>
            </w:r>
            <w:proofErr w:type="spellEnd"/>
            <w:r w:rsidRPr="0050555C">
              <w:rPr>
                <w:b/>
                <w:sz w:val="20"/>
                <w:lang w:val="en-US"/>
              </w:rPr>
              <w:t>:</w:t>
            </w:r>
            <w:r w:rsidRPr="0050555C">
              <w:rPr>
                <w:sz w:val="20"/>
                <w:lang w:val="en-US"/>
              </w:rPr>
              <w:t xml:space="preserve"> +48 22 608 38 86 </w:t>
            </w:r>
          </w:p>
          <w:p w:rsidR="0071624F" w:rsidRPr="0050555C" w:rsidRDefault="0071624F" w:rsidP="0071624F">
            <w:pPr>
              <w:rPr>
                <w:sz w:val="18"/>
                <w:lang w:val="en-US"/>
              </w:rPr>
            </w:pPr>
            <w:r w:rsidRPr="0050555C">
              <w:rPr>
                <w:b/>
                <w:sz w:val="20"/>
                <w:lang w:val="en-US"/>
              </w:rPr>
              <w:t>e-mail:</w:t>
            </w:r>
            <w:r w:rsidRPr="0050555C">
              <w:rPr>
                <w:sz w:val="20"/>
                <w:lang w:val="en-US"/>
              </w:rPr>
              <w:t xml:space="preserve"> </w:t>
            </w:r>
            <w:hyperlink r:id="rId18" w:history="1">
              <w:r w:rsidRPr="0050555C">
                <w:rPr>
                  <w:rStyle w:val="Hipercze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71624F" w:rsidRPr="0050555C" w:rsidRDefault="0071624F" w:rsidP="0071624F">
            <w:pPr>
              <w:rPr>
                <w:sz w:val="18"/>
                <w:lang w:val="en-US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81280" behindDoc="0" locked="0" layoutInCell="1" allowOverlap="1" wp14:anchorId="310E8FD3" wp14:editId="16B04C2D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19050" t="0" r="0" b="0"/>
                  <wp:wrapNone/>
                  <wp:docPr id="17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71624F" w:rsidRPr="0050555C" w:rsidRDefault="0071624F" w:rsidP="0071624F">
            <w:pPr>
              <w:rPr>
                <w:sz w:val="18"/>
              </w:rPr>
            </w:pPr>
            <w:r w:rsidRPr="0050555C">
              <w:rPr>
                <w:sz w:val="20"/>
              </w:rPr>
              <w:t>www.stat.gov.pl</w:t>
            </w:r>
          </w:p>
        </w:tc>
      </w:tr>
      <w:tr w:rsidR="0071624F" w:rsidRPr="0050555C" w:rsidTr="0071624F">
        <w:trPr>
          <w:trHeight w:val="436"/>
        </w:trPr>
        <w:tc>
          <w:tcPr>
            <w:tcW w:w="2721" w:type="pct"/>
            <w:vMerge/>
            <w:vAlign w:val="center"/>
          </w:tcPr>
          <w:p w:rsidR="0071624F" w:rsidRPr="0050555C" w:rsidRDefault="0071624F" w:rsidP="0071624F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71624F" w:rsidRPr="0050555C" w:rsidRDefault="0071624F" w:rsidP="0071624F">
            <w:pPr>
              <w:rPr>
                <w:sz w:val="1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83328" behindDoc="0" locked="0" layoutInCell="1" allowOverlap="1" wp14:anchorId="04670882" wp14:editId="7FBE128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19050" t="0" r="0" b="0"/>
                  <wp:wrapNone/>
                  <wp:docPr id="18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71624F" w:rsidRPr="0050555C" w:rsidRDefault="0071624F" w:rsidP="0071624F">
            <w:pPr>
              <w:rPr>
                <w:sz w:val="18"/>
              </w:rPr>
            </w:pPr>
            <w:r w:rsidRPr="0050555C">
              <w:rPr>
                <w:sz w:val="20"/>
              </w:rPr>
              <w:t>@GUS_STAT</w:t>
            </w:r>
          </w:p>
        </w:tc>
      </w:tr>
      <w:tr w:rsidR="0071624F" w:rsidRPr="0050555C" w:rsidTr="0071624F">
        <w:trPr>
          <w:trHeight w:val="436"/>
        </w:trPr>
        <w:tc>
          <w:tcPr>
            <w:tcW w:w="2721" w:type="pct"/>
            <w:vMerge/>
            <w:vAlign w:val="center"/>
          </w:tcPr>
          <w:p w:rsidR="0071624F" w:rsidRPr="0050555C" w:rsidRDefault="0071624F" w:rsidP="0071624F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71624F" w:rsidRPr="0050555C" w:rsidRDefault="0071624F" w:rsidP="0071624F">
            <w:pPr>
              <w:rPr>
                <w:sz w:val="1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82304" behindDoc="0" locked="0" layoutInCell="1" allowOverlap="1" wp14:anchorId="39D8D04E" wp14:editId="4DBC1A79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19050" t="0" r="0" b="0"/>
                  <wp:wrapNone/>
                  <wp:docPr id="19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71624F" w:rsidRPr="0050555C" w:rsidRDefault="0071624F" w:rsidP="0071624F">
            <w:pPr>
              <w:rPr>
                <w:sz w:val="20"/>
              </w:rPr>
            </w:pPr>
            <w:r w:rsidRPr="0050555C">
              <w:rPr>
                <w:sz w:val="20"/>
              </w:rPr>
              <w:t>@</w:t>
            </w:r>
            <w:proofErr w:type="spellStart"/>
            <w:r w:rsidRPr="0050555C">
              <w:rPr>
                <w:sz w:val="20"/>
              </w:rPr>
              <w:t>GlownyUrzadStatystyczny</w:t>
            </w:r>
            <w:proofErr w:type="spellEnd"/>
          </w:p>
        </w:tc>
      </w:tr>
    </w:tbl>
    <w:p w:rsidR="008B2F34" w:rsidRPr="00DD11D3" w:rsidRDefault="008B2F34" w:rsidP="00EF37B7">
      <w:pPr>
        <w:jc w:val="both"/>
        <w:rPr>
          <w:color w:val="000000"/>
          <w:szCs w:val="19"/>
        </w:rPr>
      </w:pPr>
    </w:p>
    <w:p w:rsidR="0064104F" w:rsidRPr="00001C5B" w:rsidRDefault="0064104F" w:rsidP="00E76D26">
      <w:pPr>
        <w:rPr>
          <w:sz w:val="18"/>
        </w:rPr>
        <w:sectPr w:rsidR="0064104F" w:rsidRPr="00001C5B" w:rsidSect="00853635">
          <w:headerReference w:type="default" r:id="rId22"/>
          <w:footerReference w:type="default" r:id="rId23"/>
          <w:headerReference w:type="first" r:id="rId24"/>
          <w:footerReference w:type="first" r:id="rId25"/>
          <w:pgSz w:w="11906" w:h="16838"/>
          <w:pgMar w:top="720" w:right="3119" w:bottom="720" w:left="720" w:header="284" w:footer="397" w:gutter="0"/>
          <w:pgNumType w:start="1"/>
          <w:cols w:space="708"/>
          <w:titlePg/>
          <w:docGrid w:linePitch="360"/>
        </w:sectPr>
      </w:pPr>
    </w:p>
    <w:p w:rsidR="0064104F" w:rsidRDefault="0071624F" w:rsidP="000470AA">
      <w:pPr>
        <w:rPr>
          <w:sz w:val="18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336641</wp:posOffset>
                </wp:positionV>
                <wp:extent cx="6261100" cy="5449570"/>
                <wp:effectExtent l="0" t="0" r="25400" b="17780"/>
                <wp:wrapSquare wrapText="bothSides"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54495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04F" w:rsidRDefault="0064104F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64104F" w:rsidRDefault="0064104F" w:rsidP="00AB6D25">
                            <w:pPr>
                              <w:rPr>
                                <w:b/>
                              </w:rPr>
                            </w:pPr>
                            <w:r w:rsidRPr="0026524A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D944D5" w:rsidRDefault="00DE3D0B" w:rsidP="00AB6D25">
                            <w:hyperlink r:id="rId26" w:history="1">
                              <w:r w:rsidR="00EF37B7">
                                <w:rPr>
                                  <w:rStyle w:val="Hipercze"/>
                                </w:rPr>
                                <w:t>Efekty działalności budowlanej w 2017</w:t>
                              </w:r>
                              <w:r w:rsidR="00D944D5" w:rsidRPr="00D944D5">
                                <w:rPr>
                                  <w:rStyle w:val="Hipercze"/>
                                </w:rPr>
                                <w:t xml:space="preserve"> r.</w:t>
                              </w:r>
                            </w:hyperlink>
                          </w:p>
                          <w:p w:rsidR="0064104F" w:rsidRPr="00E36CA6" w:rsidRDefault="0064104F" w:rsidP="00AB6D25">
                            <w:r w:rsidRPr="0050555C">
                              <w:rPr>
                                <w:b/>
                                <w:color w:val="000000"/>
                                <w:szCs w:val="24"/>
                              </w:rPr>
                              <w:t>Temat dostępny w bazach danych</w:t>
                            </w:r>
                          </w:p>
                          <w:p w:rsidR="00BF5A69" w:rsidRPr="00BF5A69" w:rsidRDefault="00DE3D0B" w:rsidP="00AB6D25">
                            <w:pPr>
                              <w:rPr>
                                <w:color w:val="000000"/>
                                <w:szCs w:val="24"/>
                              </w:rPr>
                            </w:pPr>
                            <w:hyperlink r:id="rId27" w:history="1">
                              <w:r w:rsidR="00BF5A69" w:rsidRPr="00BF5A69">
                                <w:rPr>
                                  <w:rStyle w:val="Hipercze"/>
                                  <w:szCs w:val="24"/>
                                </w:rPr>
                                <w:t>Dziedzinowa Baza Wiedzy Budownictwo</w:t>
                              </w:r>
                            </w:hyperlink>
                          </w:p>
                          <w:p w:rsidR="00E20A2F" w:rsidRPr="00E20A2F" w:rsidRDefault="00DE3D0B" w:rsidP="00AB6D25">
                            <w:hyperlink r:id="rId28" w:history="1">
                              <w:r w:rsidR="00E20A2F" w:rsidRPr="00E20A2F">
                                <w:rPr>
                                  <w:rStyle w:val="Hipercze"/>
                                </w:rPr>
                                <w:t>Bank Danych Lokalnych</w:t>
                              </w:r>
                            </w:hyperlink>
                          </w:p>
                          <w:p w:rsidR="0064104F" w:rsidRDefault="0064104F" w:rsidP="00AB6D25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50555C">
                              <w:rPr>
                                <w:b/>
                                <w:color w:val="000000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:rsidR="00F21E25" w:rsidRPr="00F21E25" w:rsidRDefault="00F21E25" w:rsidP="00AB6D25">
                            <w:pPr>
                              <w:rPr>
                                <w:color w:val="000000"/>
                                <w:szCs w:val="24"/>
                              </w:rPr>
                            </w:pPr>
                            <w:r w:rsidRPr="005143FA">
                              <w:rPr>
                                <w:rStyle w:val="Hipercze"/>
                                <w:szCs w:val="24"/>
                              </w:rPr>
                              <w:t>Budynek</w:t>
                            </w:r>
                          </w:p>
                          <w:p w:rsidR="00F21E25" w:rsidRDefault="00DE3D0B" w:rsidP="00AB6D25">
                            <w:pPr>
                              <w:rPr>
                                <w:color w:val="000000"/>
                                <w:szCs w:val="24"/>
                              </w:rPr>
                            </w:pPr>
                            <w:hyperlink r:id="rId29" w:history="1">
                              <w:r w:rsidR="00F21E25" w:rsidRPr="00F21E25">
                                <w:rPr>
                                  <w:rStyle w:val="Hipercze"/>
                                  <w:szCs w:val="24"/>
                                </w:rPr>
                                <w:t>Budynek niemieszkalny</w:t>
                              </w:r>
                            </w:hyperlink>
                          </w:p>
                          <w:p w:rsidR="00E20A2F" w:rsidRDefault="00DE3D0B" w:rsidP="00AB6D25">
                            <w:pPr>
                              <w:rPr>
                                <w:color w:val="000000"/>
                                <w:szCs w:val="24"/>
                              </w:rPr>
                            </w:pPr>
                            <w:hyperlink r:id="rId30" w:history="1">
                              <w:r w:rsidR="00E20A2F" w:rsidRPr="00E20A2F">
                                <w:rPr>
                                  <w:rStyle w:val="Hipercze"/>
                                  <w:szCs w:val="24"/>
                                </w:rPr>
                                <w:t>Budynek niemieszkalny oddany do użytkowania</w:t>
                              </w:r>
                            </w:hyperlink>
                          </w:p>
                          <w:p w:rsidR="00F21E25" w:rsidRDefault="00DE3D0B" w:rsidP="00AB6D25">
                            <w:pPr>
                              <w:rPr>
                                <w:color w:val="000000"/>
                                <w:szCs w:val="24"/>
                              </w:rPr>
                            </w:pPr>
                            <w:hyperlink r:id="rId31" w:history="1">
                              <w:r w:rsidR="00E20A2F" w:rsidRPr="00E20A2F">
                                <w:rPr>
                                  <w:rStyle w:val="Hipercze"/>
                                  <w:szCs w:val="24"/>
                                </w:rPr>
                                <w:t>Obiekty inżynierii lądowej i wodnej</w:t>
                              </w:r>
                            </w:hyperlink>
                          </w:p>
                          <w:p w:rsidR="00012CBE" w:rsidRDefault="00DE3D0B" w:rsidP="00AB6D25">
                            <w:hyperlink r:id="rId32" w:history="1">
                              <w:r w:rsidR="00012CBE" w:rsidRPr="00F21E25">
                                <w:rPr>
                                  <w:rStyle w:val="Hipercze"/>
                                </w:rPr>
                                <w:t>Pozwolenie na budowę</w:t>
                              </w:r>
                              <w:r w:rsidR="00F21E25" w:rsidRPr="00F21E25">
                                <w:rPr>
                                  <w:rStyle w:val="Hipercze"/>
                                </w:rPr>
                                <w:t xml:space="preserve"> i zgłoszenie z projektem budowlanym</w:t>
                              </w:r>
                            </w:hyperlink>
                          </w:p>
                          <w:p w:rsidR="00E20A2F" w:rsidRDefault="00E20A2F" w:rsidP="00AB6D25"/>
                          <w:p w:rsidR="00F21E25" w:rsidRDefault="00F21E25" w:rsidP="00AB6D25">
                            <w:pPr>
                              <w:rPr>
                                <w:rFonts w:ascii="firaregular" w:hAnsi="firaregular"/>
                                <w:color w:val="22222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0;margin-top:26.5pt;width:493pt;height:429.1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" fillcolor="#f2f2f2" strokecolor="white">
                <v:textbox>
                  <w:txbxContent>
                    <w:p w:rsidR="0064104F" w:rsidRDefault="0064104F" w:rsidP="00AB6D25">
                      <w:pPr>
                        <w:rPr>
                          <w:b/>
                        </w:rPr>
                      </w:pPr>
                    </w:p>
                    <w:p w:rsidR="0064104F" w:rsidRDefault="0064104F" w:rsidP="00AB6D25">
                      <w:pPr>
                        <w:rPr>
                          <w:b/>
                        </w:rPr>
                      </w:pPr>
                      <w:r w:rsidRPr="0026524A">
                        <w:rPr>
                          <w:b/>
                        </w:rPr>
                        <w:t>Powiązane opracowania</w:t>
                      </w:r>
                    </w:p>
                    <w:p w:rsidR="00D944D5" w:rsidRDefault="00487096" w:rsidP="00AB6D25">
                      <w:hyperlink r:id="rId33" w:history="1">
                        <w:r w:rsidR="00EF37B7">
                          <w:rPr>
                            <w:rStyle w:val="Hipercze"/>
                          </w:rPr>
                          <w:t>Efekty działalności budowlanej w 2017</w:t>
                        </w:r>
                        <w:r w:rsidR="00D944D5" w:rsidRPr="00D944D5">
                          <w:rPr>
                            <w:rStyle w:val="Hipercze"/>
                          </w:rPr>
                          <w:t xml:space="preserve"> r.</w:t>
                        </w:r>
                      </w:hyperlink>
                    </w:p>
                    <w:p w:rsidR="0064104F" w:rsidRPr="00E36CA6" w:rsidRDefault="0064104F" w:rsidP="00AB6D25">
                      <w:r w:rsidRPr="0050555C">
                        <w:rPr>
                          <w:b/>
                          <w:color w:val="000000"/>
                          <w:szCs w:val="24"/>
                        </w:rPr>
                        <w:t>Temat dostępny w bazach danych</w:t>
                      </w:r>
                    </w:p>
                    <w:p w:rsidR="00BF5A69" w:rsidRPr="00BF5A69" w:rsidRDefault="00487096" w:rsidP="00AB6D25">
                      <w:pPr>
                        <w:rPr>
                          <w:color w:val="000000"/>
                          <w:szCs w:val="24"/>
                        </w:rPr>
                      </w:pPr>
                      <w:hyperlink r:id="rId34" w:history="1">
                        <w:r w:rsidR="00BF5A69" w:rsidRPr="00BF5A69">
                          <w:rPr>
                            <w:rStyle w:val="Hipercze"/>
                            <w:szCs w:val="24"/>
                          </w:rPr>
                          <w:t>Dziedzinowa Baza Wiedzy Budownictwo</w:t>
                        </w:r>
                      </w:hyperlink>
                    </w:p>
                    <w:p w:rsidR="00E20A2F" w:rsidRPr="00E20A2F" w:rsidRDefault="00487096" w:rsidP="00AB6D25">
                      <w:hyperlink r:id="rId35" w:history="1">
                        <w:r w:rsidR="00E20A2F" w:rsidRPr="00E20A2F">
                          <w:rPr>
                            <w:rStyle w:val="Hipercze"/>
                          </w:rPr>
                          <w:t>Bank Danych Lokalnych</w:t>
                        </w:r>
                      </w:hyperlink>
                    </w:p>
                    <w:p w:rsidR="0064104F" w:rsidRDefault="0064104F" w:rsidP="00AB6D25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  <w:r w:rsidRPr="0050555C">
                        <w:rPr>
                          <w:b/>
                          <w:color w:val="000000"/>
                          <w:szCs w:val="24"/>
                        </w:rPr>
                        <w:t>Ważniejsze pojęcia dostępne w słowniku</w:t>
                      </w:r>
                    </w:p>
                    <w:p w:rsidR="00F21E25" w:rsidRPr="00F21E25" w:rsidRDefault="00F21E25" w:rsidP="00AB6D25">
                      <w:pPr>
                        <w:rPr>
                          <w:color w:val="000000"/>
                          <w:szCs w:val="24"/>
                        </w:rPr>
                      </w:pPr>
                      <w:r w:rsidRPr="005143FA">
                        <w:rPr>
                          <w:rStyle w:val="Hipercze"/>
                          <w:szCs w:val="24"/>
                        </w:rPr>
                        <w:t>Budynek</w:t>
                      </w:r>
                    </w:p>
                    <w:p w:rsidR="00F21E25" w:rsidRDefault="00487096" w:rsidP="00AB6D25">
                      <w:pPr>
                        <w:rPr>
                          <w:color w:val="000000"/>
                          <w:szCs w:val="24"/>
                        </w:rPr>
                      </w:pPr>
                      <w:hyperlink r:id="rId36" w:history="1">
                        <w:r w:rsidR="00F21E25" w:rsidRPr="00F21E25">
                          <w:rPr>
                            <w:rStyle w:val="Hipercze"/>
                            <w:szCs w:val="24"/>
                          </w:rPr>
                          <w:t>Budynek niemieszkalny</w:t>
                        </w:r>
                      </w:hyperlink>
                    </w:p>
                    <w:p w:rsidR="00E20A2F" w:rsidRDefault="00487096" w:rsidP="00AB6D25">
                      <w:pPr>
                        <w:rPr>
                          <w:color w:val="000000"/>
                          <w:szCs w:val="24"/>
                        </w:rPr>
                      </w:pPr>
                      <w:hyperlink r:id="rId37" w:history="1">
                        <w:r w:rsidR="00E20A2F" w:rsidRPr="00E20A2F">
                          <w:rPr>
                            <w:rStyle w:val="Hipercze"/>
                            <w:szCs w:val="24"/>
                          </w:rPr>
                          <w:t>Budynek niemieszkalny oddany do użytkowania</w:t>
                        </w:r>
                      </w:hyperlink>
                    </w:p>
                    <w:p w:rsidR="00F21E25" w:rsidRDefault="00487096" w:rsidP="00AB6D25">
                      <w:pPr>
                        <w:rPr>
                          <w:color w:val="000000"/>
                          <w:szCs w:val="24"/>
                        </w:rPr>
                      </w:pPr>
                      <w:hyperlink r:id="rId38" w:history="1">
                        <w:r w:rsidR="00E20A2F" w:rsidRPr="00E20A2F">
                          <w:rPr>
                            <w:rStyle w:val="Hipercze"/>
                            <w:szCs w:val="24"/>
                          </w:rPr>
                          <w:t>Obiekty inżynierii lądowej i wodnej</w:t>
                        </w:r>
                      </w:hyperlink>
                    </w:p>
                    <w:p w:rsidR="00012CBE" w:rsidRDefault="00487096" w:rsidP="00AB6D25">
                      <w:hyperlink r:id="rId39" w:history="1">
                        <w:r w:rsidR="00012CBE" w:rsidRPr="00F21E25">
                          <w:rPr>
                            <w:rStyle w:val="Hipercze"/>
                          </w:rPr>
                          <w:t>Pozwolenie na budowę</w:t>
                        </w:r>
                        <w:r w:rsidR="00F21E25" w:rsidRPr="00F21E25">
                          <w:rPr>
                            <w:rStyle w:val="Hipercze"/>
                          </w:rPr>
                          <w:t xml:space="preserve"> i zgłoszenie z projektem budowlanym</w:t>
                        </w:r>
                      </w:hyperlink>
                    </w:p>
                    <w:p w:rsidR="00E20A2F" w:rsidRDefault="00E20A2F" w:rsidP="00AB6D25"/>
                    <w:p w:rsidR="00F21E25" w:rsidRDefault="00F21E25" w:rsidP="00AB6D25">
                      <w:pPr>
                        <w:rPr>
                          <w:rFonts w:ascii="firaregular" w:hAnsi="firaregular"/>
                          <w:color w:val="222222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4104F" w:rsidRPr="00F64AC1" w:rsidRDefault="0064104F" w:rsidP="000470AA">
      <w:pPr>
        <w:rPr>
          <w:sz w:val="20"/>
          <w:lang w:val="en-US"/>
        </w:rPr>
      </w:pPr>
    </w:p>
    <w:p w:rsidR="0064104F" w:rsidRPr="00F64AC1" w:rsidRDefault="0064104F" w:rsidP="000470AA">
      <w:pPr>
        <w:rPr>
          <w:sz w:val="18"/>
          <w:lang w:val="en-US"/>
        </w:rPr>
      </w:pPr>
    </w:p>
    <w:p w:rsidR="0064104F" w:rsidRPr="00001C5B" w:rsidRDefault="0064104F" w:rsidP="00E76D26">
      <w:pPr>
        <w:rPr>
          <w:sz w:val="18"/>
        </w:rPr>
      </w:pPr>
    </w:p>
    <w:sectPr w:rsidR="0064104F" w:rsidRPr="00001C5B" w:rsidSect="00AE4F99">
      <w:headerReference w:type="default" r:id="rId40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D0B" w:rsidRDefault="00DE3D0B" w:rsidP="000662E2">
      <w:pPr>
        <w:spacing w:after="0" w:line="240" w:lineRule="auto"/>
      </w:pPr>
      <w:r>
        <w:separator/>
      </w:r>
    </w:p>
  </w:endnote>
  <w:endnote w:type="continuationSeparator" w:id="0">
    <w:p w:rsidR="00DE3D0B" w:rsidRDefault="00DE3D0B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ira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04F" w:rsidRDefault="00E20016">
    <w:pPr>
      <w:pStyle w:val="Stopka"/>
      <w:jc w:val="center"/>
    </w:pPr>
    <w:r>
      <w:fldChar w:fldCharType="begin"/>
    </w:r>
    <w:r w:rsidR="00774267">
      <w:instrText xml:space="preserve"> PAGE   \* MERGEFORMAT </w:instrText>
    </w:r>
    <w:r>
      <w:fldChar w:fldCharType="separate"/>
    </w:r>
    <w:r w:rsidR="009A5631">
      <w:rPr>
        <w:noProof/>
      </w:rPr>
      <w:t>4</w:t>
    </w:r>
    <w:r>
      <w:rPr>
        <w:noProof/>
      </w:rPr>
      <w:fldChar w:fldCharType="end"/>
    </w:r>
  </w:p>
  <w:p w:rsidR="0064104F" w:rsidRPr="007B4F73" w:rsidRDefault="0064104F" w:rsidP="007B4F73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04F" w:rsidRDefault="00E20016">
    <w:pPr>
      <w:pStyle w:val="Stopka"/>
      <w:jc w:val="center"/>
    </w:pPr>
    <w:r>
      <w:fldChar w:fldCharType="begin"/>
    </w:r>
    <w:r w:rsidR="00774267">
      <w:instrText xml:space="preserve"> PAGE   \* MERGEFORMAT </w:instrText>
    </w:r>
    <w:r>
      <w:fldChar w:fldCharType="separate"/>
    </w:r>
    <w:r w:rsidR="009A5631">
      <w:rPr>
        <w:noProof/>
      </w:rPr>
      <w:t>1</w:t>
    </w:r>
    <w:r>
      <w:rPr>
        <w:noProof/>
      </w:rPr>
      <w:fldChar w:fldCharType="end"/>
    </w:r>
  </w:p>
  <w:p w:rsidR="0064104F" w:rsidRPr="00CC1C7C" w:rsidRDefault="0064104F" w:rsidP="00CC1C7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D0B" w:rsidRDefault="00DE3D0B" w:rsidP="000662E2">
      <w:pPr>
        <w:spacing w:after="0" w:line="240" w:lineRule="auto"/>
      </w:pPr>
      <w:r>
        <w:separator/>
      </w:r>
    </w:p>
  </w:footnote>
  <w:footnote w:type="continuationSeparator" w:id="0">
    <w:p w:rsidR="00DE3D0B" w:rsidRDefault="00DE3D0B" w:rsidP="000662E2">
      <w:pPr>
        <w:spacing w:after="0" w:line="240" w:lineRule="auto"/>
      </w:pPr>
      <w:r>
        <w:continuationSeparator/>
      </w:r>
    </w:p>
  </w:footnote>
  <w:footnote w:id="1">
    <w:p w:rsidR="0058132F" w:rsidRDefault="0058132F" w:rsidP="0058132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6E95">
        <w:rPr>
          <w:rFonts w:ascii="Fira Sans" w:eastAsia="Calibri" w:hAnsi="Fira Sans"/>
          <w:sz w:val="16"/>
          <w:lang w:eastAsia="en-US"/>
        </w:rPr>
        <w:t xml:space="preserve">Ilekroć w notatce jest mowa o </w:t>
      </w:r>
      <w:r w:rsidRPr="007A6E95">
        <w:rPr>
          <w:rFonts w:ascii="Fira Sans" w:eastAsia="Calibri" w:hAnsi="Fira Sans"/>
          <w:b/>
          <w:sz w:val="16"/>
          <w:lang w:eastAsia="en-US"/>
        </w:rPr>
        <w:t>powierzchni użytkowej budynków niemieszkalnych oddanych do użytkowania</w:t>
      </w:r>
      <w:r w:rsidRPr="007A6E95">
        <w:rPr>
          <w:rFonts w:ascii="Fira Sans" w:eastAsia="Calibri" w:hAnsi="Fira Sans"/>
          <w:sz w:val="16"/>
          <w:lang w:eastAsia="en-US"/>
        </w:rPr>
        <w:t xml:space="preserve"> – należy przez to rozumieć sumę powierzchni użytkowej budynków nowych oraz nowopowstałych części budynków rozbudowanych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04F" w:rsidRDefault="002D779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4445" t="1905" r="0" b="0"/>
              <wp:wrapNone/>
              <wp:docPr id="11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6605" id="Prostokąt 24" o:spid="_x0000_s1026" style="position:absolute;margin-left:410.6pt;margin-top:-14.05pt;width:147.6pt;height:178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" fillcolor="#f2f2f2" stroked="f" strokeweight="1pt"/>
          </w:pict>
        </mc:Fallback>
      </mc:AlternateContent>
    </w:r>
  </w:p>
  <w:p w:rsidR="0064104F" w:rsidRDefault="006410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04F" w:rsidRDefault="002D7793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86360</wp:posOffset>
          </wp:positionV>
          <wp:extent cx="2085975" cy="727075"/>
          <wp:effectExtent l="0" t="0" r="0" b="0"/>
          <wp:wrapSquare wrapText="bothSides"/>
          <wp:docPr id="6" name="Obraz 6" descr="Logo jubileuszowe wersja dla GUS odmiana podstawowa wariant kolorow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jubileuszowe wersja dla GUS odmiana podstawowa wariant kolorow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2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4104F" w:rsidRPr="003C6C8D" w:rsidRDefault="0064104F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chemat blokowy: opóźnienie 6" o:spid="_x0000_s1034" style="position:absolute;margin-left:396.6pt;margin-top:15.65pt;width:162.25pt;height:28.1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Cr6+j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2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64104F" w:rsidRPr="003C6C8D" w:rsidRDefault="0064104F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7" behindDoc="1" locked="0" layoutInCell="1" allowOverlap="1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89D59F" id="Prostokąt 10" o:spid="_x0000_s1026" style="position:absolute;margin-left:410.95pt;margin-top:40.3pt;width:147.4pt;height:1803.55pt;z-index:-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" fillcolor="#f2f2f2" stroked="f" strokeweight="2pt">
              <v:path arrowok="t"/>
              <w10:wrap type="tight"/>
            </v:rect>
          </w:pict>
        </mc:Fallback>
      </mc:AlternateContent>
    </w:r>
  </w:p>
  <w:p w:rsidR="00B05B2E" w:rsidRDefault="00B05B2E">
    <w:pPr>
      <w:pStyle w:val="Nagwek"/>
      <w:rPr>
        <w:noProof/>
      </w:rPr>
    </w:pPr>
  </w:p>
  <w:p w:rsidR="00B05B2E" w:rsidRDefault="00B05B2E">
    <w:pPr>
      <w:pStyle w:val="Nagwek"/>
      <w:rPr>
        <w:noProof/>
      </w:rPr>
    </w:pPr>
  </w:p>
  <w:p w:rsidR="0064104F" w:rsidRDefault="002D7793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104F" w:rsidRPr="00C97596" w:rsidRDefault="008359A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 w:rsidR="00F67AC9">
                            <w:rPr>
                              <w:rFonts w:ascii="Fira Sans SemiBold" w:hAnsi="Fira Sans SemiBold"/>
                              <w:color w:val="001D77"/>
                            </w:rPr>
                            <w:t>7</w:t>
                          </w:r>
                          <w:r w:rsidR="0064104F">
                            <w:rPr>
                              <w:rFonts w:ascii="Fira Sans SemiBold" w:hAnsi="Fira Sans SemiBold"/>
                              <w:color w:val="001D77"/>
                            </w:rPr>
                            <w:t>.0</w:t>
                          </w:r>
                          <w:r w:rsidR="00F67AC9">
                            <w:rPr>
                              <w:rFonts w:ascii="Fira Sans SemiBold" w:hAnsi="Fira Sans SemiBold"/>
                              <w:color w:val="001D77"/>
                            </w:rPr>
                            <w:t>9</w:t>
                          </w:r>
                          <w:r w:rsidR="0064104F">
                            <w:rPr>
                              <w:rFonts w:ascii="Fira Sans SemiBold" w:hAnsi="Fira Sans SemiBold"/>
                              <w:color w:val="001D77"/>
                            </w:rPr>
                            <w:t>.2018</w:t>
                          </w:r>
                          <w:r w:rsidR="0064104F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1pt;margin-top:20.95pt;width:112.8pt;height:26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64104F" w:rsidRPr="00C97596" w:rsidRDefault="008359A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 w:rsidR="00F67AC9">
                      <w:rPr>
                        <w:rFonts w:ascii="Fira Sans SemiBold" w:hAnsi="Fira Sans SemiBold"/>
                        <w:color w:val="001D77"/>
                      </w:rPr>
                      <w:t>7</w:t>
                    </w:r>
                    <w:r w:rsidR="0064104F">
                      <w:rPr>
                        <w:rFonts w:ascii="Fira Sans SemiBold" w:hAnsi="Fira Sans SemiBold"/>
                        <w:color w:val="001D77"/>
                      </w:rPr>
                      <w:t>.0</w:t>
                    </w:r>
                    <w:r w:rsidR="00F67AC9">
                      <w:rPr>
                        <w:rFonts w:ascii="Fira Sans SemiBold" w:hAnsi="Fira Sans SemiBold"/>
                        <w:color w:val="001D77"/>
                      </w:rPr>
                      <w:t>9</w:t>
                    </w:r>
                    <w:r w:rsidR="0064104F">
                      <w:rPr>
                        <w:rFonts w:ascii="Fira Sans SemiBold" w:hAnsi="Fira Sans SemiBold"/>
                        <w:color w:val="001D77"/>
                      </w:rPr>
                      <w:t>.2018</w:t>
                    </w:r>
                    <w:r w:rsidR="0064104F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04F" w:rsidRDefault="0064104F">
    <w:pPr>
      <w:pStyle w:val="Nagwek"/>
    </w:pPr>
  </w:p>
  <w:p w:rsidR="0064104F" w:rsidRDefault="006410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3.45pt;height:125.4pt;visibility:visible" o:bullet="t">
        <v:imagedata r:id="rId1" o:title=""/>
      </v:shape>
    </w:pict>
  </w:numPicBullet>
  <w:numPicBullet w:numPicBulletId="1">
    <w:pict>
      <v:shape id="_x0000_i1035" type="#_x0000_t75" style="width:123.45pt;height:125.4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3A2AC6"/>
    <w:multiLevelType w:val="hybridMultilevel"/>
    <w:tmpl w:val="DC8453EE"/>
    <w:lvl w:ilvl="0" w:tplc="8B42DD9A">
      <w:start w:val="4"/>
      <w:numFmt w:val="lowerLetter"/>
      <w:lvlText w:val="%1)"/>
      <w:lvlJc w:val="left"/>
      <w:pPr>
        <w:ind w:left="720" w:hanging="360"/>
      </w:pPr>
      <w:rPr>
        <w:rFonts w:ascii="Fira Sans" w:hAnsi="Fira Sans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3C40E5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2E6E9E"/>
    <w:multiLevelType w:val="hybridMultilevel"/>
    <w:tmpl w:val="11FC3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4C0299B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87318E2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2011809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9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24F6"/>
    <w:rsid w:val="00003437"/>
    <w:rsid w:val="000039D0"/>
    <w:rsid w:val="00003ED8"/>
    <w:rsid w:val="0000709F"/>
    <w:rsid w:val="00010016"/>
    <w:rsid w:val="000108B8"/>
    <w:rsid w:val="00010E3A"/>
    <w:rsid w:val="00012CBE"/>
    <w:rsid w:val="00013B5C"/>
    <w:rsid w:val="00013B5E"/>
    <w:rsid w:val="000152F5"/>
    <w:rsid w:val="000232FC"/>
    <w:rsid w:val="0002341F"/>
    <w:rsid w:val="00023621"/>
    <w:rsid w:val="00027A5E"/>
    <w:rsid w:val="00027B92"/>
    <w:rsid w:val="00030CB0"/>
    <w:rsid w:val="0003121F"/>
    <w:rsid w:val="0003165C"/>
    <w:rsid w:val="00033F94"/>
    <w:rsid w:val="00040AA0"/>
    <w:rsid w:val="00044EC8"/>
    <w:rsid w:val="0004582E"/>
    <w:rsid w:val="000470AA"/>
    <w:rsid w:val="00047869"/>
    <w:rsid w:val="000508A2"/>
    <w:rsid w:val="00050EDE"/>
    <w:rsid w:val="00053DC7"/>
    <w:rsid w:val="00057B90"/>
    <w:rsid w:val="00057CA1"/>
    <w:rsid w:val="000662E2"/>
    <w:rsid w:val="00066883"/>
    <w:rsid w:val="00070982"/>
    <w:rsid w:val="00074DD8"/>
    <w:rsid w:val="000761AC"/>
    <w:rsid w:val="00076474"/>
    <w:rsid w:val="000764B0"/>
    <w:rsid w:val="000806F7"/>
    <w:rsid w:val="000809C8"/>
    <w:rsid w:val="00085121"/>
    <w:rsid w:val="0008643A"/>
    <w:rsid w:val="0008743E"/>
    <w:rsid w:val="00090877"/>
    <w:rsid w:val="00092F25"/>
    <w:rsid w:val="0009389F"/>
    <w:rsid w:val="000969BC"/>
    <w:rsid w:val="000A2C30"/>
    <w:rsid w:val="000A68CB"/>
    <w:rsid w:val="000A7137"/>
    <w:rsid w:val="000B0727"/>
    <w:rsid w:val="000B6E1A"/>
    <w:rsid w:val="000C122A"/>
    <w:rsid w:val="000C135D"/>
    <w:rsid w:val="000C3C2C"/>
    <w:rsid w:val="000C7546"/>
    <w:rsid w:val="000D1D43"/>
    <w:rsid w:val="000D1EAF"/>
    <w:rsid w:val="000D225C"/>
    <w:rsid w:val="000D2356"/>
    <w:rsid w:val="000D2A5C"/>
    <w:rsid w:val="000D2CEF"/>
    <w:rsid w:val="000D2E0B"/>
    <w:rsid w:val="000D322F"/>
    <w:rsid w:val="000E01F9"/>
    <w:rsid w:val="000E0918"/>
    <w:rsid w:val="000E2191"/>
    <w:rsid w:val="000E4099"/>
    <w:rsid w:val="000E41A2"/>
    <w:rsid w:val="000E663E"/>
    <w:rsid w:val="000F363F"/>
    <w:rsid w:val="001008E9"/>
    <w:rsid w:val="001011C3"/>
    <w:rsid w:val="00102F1A"/>
    <w:rsid w:val="001031F1"/>
    <w:rsid w:val="0010687B"/>
    <w:rsid w:val="00110D87"/>
    <w:rsid w:val="00114DB9"/>
    <w:rsid w:val="001158BE"/>
    <w:rsid w:val="00116087"/>
    <w:rsid w:val="0011736A"/>
    <w:rsid w:val="00126F8E"/>
    <w:rsid w:val="00130296"/>
    <w:rsid w:val="00137B21"/>
    <w:rsid w:val="001423B6"/>
    <w:rsid w:val="00142DAC"/>
    <w:rsid w:val="001448A7"/>
    <w:rsid w:val="00146621"/>
    <w:rsid w:val="00152273"/>
    <w:rsid w:val="00155438"/>
    <w:rsid w:val="00155DEE"/>
    <w:rsid w:val="00161204"/>
    <w:rsid w:val="00161D94"/>
    <w:rsid w:val="00162125"/>
    <w:rsid w:val="00162325"/>
    <w:rsid w:val="00166274"/>
    <w:rsid w:val="00170750"/>
    <w:rsid w:val="00171E9C"/>
    <w:rsid w:val="00173973"/>
    <w:rsid w:val="00174E7E"/>
    <w:rsid w:val="00175652"/>
    <w:rsid w:val="001758E0"/>
    <w:rsid w:val="00176BC0"/>
    <w:rsid w:val="00177231"/>
    <w:rsid w:val="0017779B"/>
    <w:rsid w:val="001777D8"/>
    <w:rsid w:val="00180E85"/>
    <w:rsid w:val="001850EA"/>
    <w:rsid w:val="00185AAE"/>
    <w:rsid w:val="0019029D"/>
    <w:rsid w:val="00190E0D"/>
    <w:rsid w:val="00192D62"/>
    <w:rsid w:val="001951DA"/>
    <w:rsid w:val="001952F2"/>
    <w:rsid w:val="00195767"/>
    <w:rsid w:val="001A0A33"/>
    <w:rsid w:val="001A324E"/>
    <w:rsid w:val="001A4380"/>
    <w:rsid w:val="001A5784"/>
    <w:rsid w:val="001B2192"/>
    <w:rsid w:val="001C306C"/>
    <w:rsid w:val="001C3269"/>
    <w:rsid w:val="001C52A0"/>
    <w:rsid w:val="001C5D15"/>
    <w:rsid w:val="001D03B4"/>
    <w:rsid w:val="001D0CB4"/>
    <w:rsid w:val="001D0ECD"/>
    <w:rsid w:val="001D1DB4"/>
    <w:rsid w:val="001D270F"/>
    <w:rsid w:val="001D2A8C"/>
    <w:rsid w:val="001D2AD6"/>
    <w:rsid w:val="001E3BE5"/>
    <w:rsid w:val="001F1CC9"/>
    <w:rsid w:val="001F6797"/>
    <w:rsid w:val="00202665"/>
    <w:rsid w:val="00202E71"/>
    <w:rsid w:val="00204A8E"/>
    <w:rsid w:val="00205EE5"/>
    <w:rsid w:val="00213C1D"/>
    <w:rsid w:val="0022147F"/>
    <w:rsid w:val="002245C4"/>
    <w:rsid w:val="00230C53"/>
    <w:rsid w:val="00233DC9"/>
    <w:rsid w:val="00236405"/>
    <w:rsid w:val="0023734A"/>
    <w:rsid w:val="00240B3E"/>
    <w:rsid w:val="002424C3"/>
    <w:rsid w:val="00246ECD"/>
    <w:rsid w:val="002508DE"/>
    <w:rsid w:val="002574F9"/>
    <w:rsid w:val="0026524A"/>
    <w:rsid w:val="00266D35"/>
    <w:rsid w:val="00270FCF"/>
    <w:rsid w:val="002725D4"/>
    <w:rsid w:val="00275F66"/>
    <w:rsid w:val="00276811"/>
    <w:rsid w:val="00282699"/>
    <w:rsid w:val="00284612"/>
    <w:rsid w:val="00290126"/>
    <w:rsid w:val="0029047B"/>
    <w:rsid w:val="00290F23"/>
    <w:rsid w:val="002926DF"/>
    <w:rsid w:val="00296697"/>
    <w:rsid w:val="002A0E7B"/>
    <w:rsid w:val="002A167D"/>
    <w:rsid w:val="002A4348"/>
    <w:rsid w:val="002A437B"/>
    <w:rsid w:val="002A5BE1"/>
    <w:rsid w:val="002B0009"/>
    <w:rsid w:val="002B0472"/>
    <w:rsid w:val="002B18C6"/>
    <w:rsid w:val="002B47BE"/>
    <w:rsid w:val="002B6B12"/>
    <w:rsid w:val="002B6B7B"/>
    <w:rsid w:val="002B7514"/>
    <w:rsid w:val="002C6270"/>
    <w:rsid w:val="002D01F9"/>
    <w:rsid w:val="002D0DA2"/>
    <w:rsid w:val="002D1C52"/>
    <w:rsid w:val="002D7793"/>
    <w:rsid w:val="002E13A8"/>
    <w:rsid w:val="002E1A9E"/>
    <w:rsid w:val="002E3888"/>
    <w:rsid w:val="002E5257"/>
    <w:rsid w:val="002E6140"/>
    <w:rsid w:val="002E6985"/>
    <w:rsid w:val="002E71B6"/>
    <w:rsid w:val="002F0AF1"/>
    <w:rsid w:val="002F2D8E"/>
    <w:rsid w:val="002F348B"/>
    <w:rsid w:val="002F77C8"/>
    <w:rsid w:val="00303046"/>
    <w:rsid w:val="00304F22"/>
    <w:rsid w:val="00306C7C"/>
    <w:rsid w:val="00306F47"/>
    <w:rsid w:val="00313891"/>
    <w:rsid w:val="00320924"/>
    <w:rsid w:val="00322858"/>
    <w:rsid w:val="00322A6A"/>
    <w:rsid w:val="00322EDD"/>
    <w:rsid w:val="00326B05"/>
    <w:rsid w:val="00332320"/>
    <w:rsid w:val="00335BE5"/>
    <w:rsid w:val="00347D72"/>
    <w:rsid w:val="00351D29"/>
    <w:rsid w:val="00351E73"/>
    <w:rsid w:val="00357000"/>
    <w:rsid w:val="00357611"/>
    <w:rsid w:val="00360544"/>
    <w:rsid w:val="00361746"/>
    <w:rsid w:val="00363693"/>
    <w:rsid w:val="00365F22"/>
    <w:rsid w:val="00367237"/>
    <w:rsid w:val="00367EC7"/>
    <w:rsid w:val="0037077F"/>
    <w:rsid w:val="00373882"/>
    <w:rsid w:val="00374475"/>
    <w:rsid w:val="00375215"/>
    <w:rsid w:val="003759F8"/>
    <w:rsid w:val="00381354"/>
    <w:rsid w:val="00381995"/>
    <w:rsid w:val="00381B0D"/>
    <w:rsid w:val="003843DB"/>
    <w:rsid w:val="00386065"/>
    <w:rsid w:val="00392B01"/>
    <w:rsid w:val="00393761"/>
    <w:rsid w:val="00396FBD"/>
    <w:rsid w:val="00397D18"/>
    <w:rsid w:val="003A1B36"/>
    <w:rsid w:val="003A2F3A"/>
    <w:rsid w:val="003B1454"/>
    <w:rsid w:val="003B2CE3"/>
    <w:rsid w:val="003B49BF"/>
    <w:rsid w:val="003B6350"/>
    <w:rsid w:val="003C0486"/>
    <w:rsid w:val="003C09EB"/>
    <w:rsid w:val="003C0E05"/>
    <w:rsid w:val="003C49B8"/>
    <w:rsid w:val="003C59E0"/>
    <w:rsid w:val="003C63EB"/>
    <w:rsid w:val="003C6C8D"/>
    <w:rsid w:val="003D329A"/>
    <w:rsid w:val="003D3ADB"/>
    <w:rsid w:val="003D4F95"/>
    <w:rsid w:val="003D5F42"/>
    <w:rsid w:val="003D60A9"/>
    <w:rsid w:val="003D6B34"/>
    <w:rsid w:val="003E4816"/>
    <w:rsid w:val="003F147E"/>
    <w:rsid w:val="003F4C97"/>
    <w:rsid w:val="003F7FE6"/>
    <w:rsid w:val="00400193"/>
    <w:rsid w:val="00411842"/>
    <w:rsid w:val="0041188E"/>
    <w:rsid w:val="00413D56"/>
    <w:rsid w:val="00416A63"/>
    <w:rsid w:val="00420C2A"/>
    <w:rsid w:val="004212E7"/>
    <w:rsid w:val="0042446D"/>
    <w:rsid w:val="00427281"/>
    <w:rsid w:val="00427BF8"/>
    <w:rsid w:val="00431C02"/>
    <w:rsid w:val="00434177"/>
    <w:rsid w:val="00434773"/>
    <w:rsid w:val="004358B0"/>
    <w:rsid w:val="00435BD0"/>
    <w:rsid w:val="00436707"/>
    <w:rsid w:val="00437395"/>
    <w:rsid w:val="004441AB"/>
    <w:rsid w:val="00444FD6"/>
    <w:rsid w:val="00445047"/>
    <w:rsid w:val="004466B1"/>
    <w:rsid w:val="0045654E"/>
    <w:rsid w:val="00456783"/>
    <w:rsid w:val="00457FDB"/>
    <w:rsid w:val="00463E39"/>
    <w:rsid w:val="004657FC"/>
    <w:rsid w:val="0047005B"/>
    <w:rsid w:val="00470DB5"/>
    <w:rsid w:val="004733F6"/>
    <w:rsid w:val="00474E69"/>
    <w:rsid w:val="00487096"/>
    <w:rsid w:val="00494700"/>
    <w:rsid w:val="004954AA"/>
    <w:rsid w:val="0049621B"/>
    <w:rsid w:val="00497505"/>
    <w:rsid w:val="004A17C9"/>
    <w:rsid w:val="004A3242"/>
    <w:rsid w:val="004B3557"/>
    <w:rsid w:val="004B5745"/>
    <w:rsid w:val="004C00DF"/>
    <w:rsid w:val="004C062B"/>
    <w:rsid w:val="004C1895"/>
    <w:rsid w:val="004C257A"/>
    <w:rsid w:val="004C2986"/>
    <w:rsid w:val="004C6D40"/>
    <w:rsid w:val="004D665D"/>
    <w:rsid w:val="004F0C3C"/>
    <w:rsid w:val="004F63FC"/>
    <w:rsid w:val="0050313D"/>
    <w:rsid w:val="005038B2"/>
    <w:rsid w:val="0050555C"/>
    <w:rsid w:val="00505A92"/>
    <w:rsid w:val="00512169"/>
    <w:rsid w:val="005143FA"/>
    <w:rsid w:val="00517624"/>
    <w:rsid w:val="005203F1"/>
    <w:rsid w:val="00521BC3"/>
    <w:rsid w:val="00527F29"/>
    <w:rsid w:val="0053024A"/>
    <w:rsid w:val="00533632"/>
    <w:rsid w:val="00534424"/>
    <w:rsid w:val="00535B20"/>
    <w:rsid w:val="00537F42"/>
    <w:rsid w:val="0054251F"/>
    <w:rsid w:val="005425C0"/>
    <w:rsid w:val="00546E2F"/>
    <w:rsid w:val="00547632"/>
    <w:rsid w:val="00550223"/>
    <w:rsid w:val="00550618"/>
    <w:rsid w:val="005520D8"/>
    <w:rsid w:val="00553348"/>
    <w:rsid w:val="005536DC"/>
    <w:rsid w:val="005561E8"/>
    <w:rsid w:val="00556CF1"/>
    <w:rsid w:val="00556E5D"/>
    <w:rsid w:val="00563312"/>
    <w:rsid w:val="00565BC0"/>
    <w:rsid w:val="00573E16"/>
    <w:rsid w:val="005762A7"/>
    <w:rsid w:val="00577662"/>
    <w:rsid w:val="0058132F"/>
    <w:rsid w:val="00582DE0"/>
    <w:rsid w:val="0058529D"/>
    <w:rsid w:val="00587857"/>
    <w:rsid w:val="00587DBB"/>
    <w:rsid w:val="005916D7"/>
    <w:rsid w:val="00593509"/>
    <w:rsid w:val="00595681"/>
    <w:rsid w:val="005973DD"/>
    <w:rsid w:val="005973F6"/>
    <w:rsid w:val="005A0649"/>
    <w:rsid w:val="005A61D6"/>
    <w:rsid w:val="005A698C"/>
    <w:rsid w:val="005A725A"/>
    <w:rsid w:val="005B1E34"/>
    <w:rsid w:val="005B5FEA"/>
    <w:rsid w:val="005C00FD"/>
    <w:rsid w:val="005D01B4"/>
    <w:rsid w:val="005D4E8B"/>
    <w:rsid w:val="005E0799"/>
    <w:rsid w:val="005E40CF"/>
    <w:rsid w:val="005E4B3F"/>
    <w:rsid w:val="005E4E00"/>
    <w:rsid w:val="005E5557"/>
    <w:rsid w:val="005F2E17"/>
    <w:rsid w:val="005F5A80"/>
    <w:rsid w:val="0060379C"/>
    <w:rsid w:val="006044FF"/>
    <w:rsid w:val="00607CC5"/>
    <w:rsid w:val="006102AA"/>
    <w:rsid w:val="00610965"/>
    <w:rsid w:val="006120C8"/>
    <w:rsid w:val="00613E35"/>
    <w:rsid w:val="0062733E"/>
    <w:rsid w:val="006277A8"/>
    <w:rsid w:val="00627CBE"/>
    <w:rsid w:val="006322BA"/>
    <w:rsid w:val="00633014"/>
    <w:rsid w:val="0063437B"/>
    <w:rsid w:val="0064104F"/>
    <w:rsid w:val="00643412"/>
    <w:rsid w:val="0065335A"/>
    <w:rsid w:val="00655F4D"/>
    <w:rsid w:val="00660957"/>
    <w:rsid w:val="00664C68"/>
    <w:rsid w:val="00665417"/>
    <w:rsid w:val="006672A5"/>
    <w:rsid w:val="006673CA"/>
    <w:rsid w:val="00667D6F"/>
    <w:rsid w:val="006738A9"/>
    <w:rsid w:val="00673C26"/>
    <w:rsid w:val="00673F58"/>
    <w:rsid w:val="00674ABE"/>
    <w:rsid w:val="0067553F"/>
    <w:rsid w:val="006812AF"/>
    <w:rsid w:val="00681587"/>
    <w:rsid w:val="006820D0"/>
    <w:rsid w:val="0068221F"/>
    <w:rsid w:val="0068327D"/>
    <w:rsid w:val="00683284"/>
    <w:rsid w:val="00690F8C"/>
    <w:rsid w:val="00691447"/>
    <w:rsid w:val="00694AF0"/>
    <w:rsid w:val="00694DF4"/>
    <w:rsid w:val="006A0715"/>
    <w:rsid w:val="006A1938"/>
    <w:rsid w:val="006A1E17"/>
    <w:rsid w:val="006A1F23"/>
    <w:rsid w:val="006B03BF"/>
    <w:rsid w:val="006B0E9E"/>
    <w:rsid w:val="006B4A55"/>
    <w:rsid w:val="006B5AE4"/>
    <w:rsid w:val="006B6138"/>
    <w:rsid w:val="006B70B9"/>
    <w:rsid w:val="006C0272"/>
    <w:rsid w:val="006D38A1"/>
    <w:rsid w:val="006D3B7E"/>
    <w:rsid w:val="006D3B94"/>
    <w:rsid w:val="006D4054"/>
    <w:rsid w:val="006D5022"/>
    <w:rsid w:val="006D5AA2"/>
    <w:rsid w:val="006D71DD"/>
    <w:rsid w:val="006E02EC"/>
    <w:rsid w:val="006E658B"/>
    <w:rsid w:val="006F4043"/>
    <w:rsid w:val="006F5EF5"/>
    <w:rsid w:val="007005FD"/>
    <w:rsid w:val="0070081B"/>
    <w:rsid w:val="00700E4D"/>
    <w:rsid w:val="00706682"/>
    <w:rsid w:val="00711B06"/>
    <w:rsid w:val="007120E6"/>
    <w:rsid w:val="007129A4"/>
    <w:rsid w:val="0071324F"/>
    <w:rsid w:val="0071624F"/>
    <w:rsid w:val="00716320"/>
    <w:rsid w:val="0071752E"/>
    <w:rsid w:val="00717B53"/>
    <w:rsid w:val="007211B1"/>
    <w:rsid w:val="00721CB2"/>
    <w:rsid w:val="0072272D"/>
    <w:rsid w:val="00726610"/>
    <w:rsid w:val="00732601"/>
    <w:rsid w:val="00732B0E"/>
    <w:rsid w:val="0073336D"/>
    <w:rsid w:val="00734CF1"/>
    <w:rsid w:val="00746187"/>
    <w:rsid w:val="007502EC"/>
    <w:rsid w:val="00752C5E"/>
    <w:rsid w:val="007608BE"/>
    <w:rsid w:val="0076254F"/>
    <w:rsid w:val="00770725"/>
    <w:rsid w:val="00774267"/>
    <w:rsid w:val="007801F5"/>
    <w:rsid w:val="007804AF"/>
    <w:rsid w:val="00783CA4"/>
    <w:rsid w:val="007842FB"/>
    <w:rsid w:val="00786124"/>
    <w:rsid w:val="007918BC"/>
    <w:rsid w:val="0079227A"/>
    <w:rsid w:val="00794896"/>
    <w:rsid w:val="0079514B"/>
    <w:rsid w:val="00795DD2"/>
    <w:rsid w:val="007961A8"/>
    <w:rsid w:val="00797294"/>
    <w:rsid w:val="007A01F9"/>
    <w:rsid w:val="007A1014"/>
    <w:rsid w:val="007A2DC1"/>
    <w:rsid w:val="007B0E35"/>
    <w:rsid w:val="007B19CF"/>
    <w:rsid w:val="007B1FA9"/>
    <w:rsid w:val="007B3DB7"/>
    <w:rsid w:val="007B4786"/>
    <w:rsid w:val="007B4F73"/>
    <w:rsid w:val="007C792E"/>
    <w:rsid w:val="007D3319"/>
    <w:rsid w:val="007D335D"/>
    <w:rsid w:val="007D51B3"/>
    <w:rsid w:val="007D585A"/>
    <w:rsid w:val="007E18E5"/>
    <w:rsid w:val="007E2E07"/>
    <w:rsid w:val="007E3314"/>
    <w:rsid w:val="007E4B03"/>
    <w:rsid w:val="007E5F5E"/>
    <w:rsid w:val="007E6683"/>
    <w:rsid w:val="007F04EF"/>
    <w:rsid w:val="007F324B"/>
    <w:rsid w:val="007F69A5"/>
    <w:rsid w:val="007F6B07"/>
    <w:rsid w:val="007F7483"/>
    <w:rsid w:val="00800CE9"/>
    <w:rsid w:val="0080240E"/>
    <w:rsid w:val="00802FDE"/>
    <w:rsid w:val="0080482B"/>
    <w:rsid w:val="0080553C"/>
    <w:rsid w:val="00805B46"/>
    <w:rsid w:val="00805DC6"/>
    <w:rsid w:val="00806869"/>
    <w:rsid w:val="008167A7"/>
    <w:rsid w:val="00816EE2"/>
    <w:rsid w:val="00824894"/>
    <w:rsid w:val="008254DD"/>
    <w:rsid w:val="00825DC2"/>
    <w:rsid w:val="00832E37"/>
    <w:rsid w:val="00833823"/>
    <w:rsid w:val="00833F80"/>
    <w:rsid w:val="00834AD3"/>
    <w:rsid w:val="008359A7"/>
    <w:rsid w:val="008402CD"/>
    <w:rsid w:val="00843795"/>
    <w:rsid w:val="008450AB"/>
    <w:rsid w:val="00846059"/>
    <w:rsid w:val="0084691F"/>
    <w:rsid w:val="00847A2B"/>
    <w:rsid w:val="00847F0F"/>
    <w:rsid w:val="0085095B"/>
    <w:rsid w:val="00852448"/>
    <w:rsid w:val="00852DC6"/>
    <w:rsid w:val="00853635"/>
    <w:rsid w:val="008538E3"/>
    <w:rsid w:val="00870E2D"/>
    <w:rsid w:val="00871300"/>
    <w:rsid w:val="00873A94"/>
    <w:rsid w:val="00874132"/>
    <w:rsid w:val="00876A0A"/>
    <w:rsid w:val="00881C86"/>
    <w:rsid w:val="0088258A"/>
    <w:rsid w:val="00882FBF"/>
    <w:rsid w:val="008833DF"/>
    <w:rsid w:val="00886332"/>
    <w:rsid w:val="008866CC"/>
    <w:rsid w:val="00892855"/>
    <w:rsid w:val="00897D51"/>
    <w:rsid w:val="008A26D9"/>
    <w:rsid w:val="008A29D6"/>
    <w:rsid w:val="008A3599"/>
    <w:rsid w:val="008A396E"/>
    <w:rsid w:val="008B050C"/>
    <w:rsid w:val="008B1B4A"/>
    <w:rsid w:val="008B2F34"/>
    <w:rsid w:val="008B32B1"/>
    <w:rsid w:val="008B3CA0"/>
    <w:rsid w:val="008B6D3E"/>
    <w:rsid w:val="008C0C29"/>
    <w:rsid w:val="008D053E"/>
    <w:rsid w:val="008D09F3"/>
    <w:rsid w:val="008D2074"/>
    <w:rsid w:val="008D6BDA"/>
    <w:rsid w:val="008E045C"/>
    <w:rsid w:val="008E6225"/>
    <w:rsid w:val="008F06DF"/>
    <w:rsid w:val="008F13E3"/>
    <w:rsid w:val="008F1915"/>
    <w:rsid w:val="008F3638"/>
    <w:rsid w:val="008F6A8E"/>
    <w:rsid w:val="008F6F31"/>
    <w:rsid w:val="008F74DF"/>
    <w:rsid w:val="008F7533"/>
    <w:rsid w:val="00902BF6"/>
    <w:rsid w:val="00907CCC"/>
    <w:rsid w:val="009127BA"/>
    <w:rsid w:val="00913F92"/>
    <w:rsid w:val="00915193"/>
    <w:rsid w:val="00916ECA"/>
    <w:rsid w:val="009170F3"/>
    <w:rsid w:val="00921240"/>
    <w:rsid w:val="00922794"/>
    <w:rsid w:val="009227A6"/>
    <w:rsid w:val="009249D6"/>
    <w:rsid w:val="009301B3"/>
    <w:rsid w:val="00931AE5"/>
    <w:rsid w:val="0093209A"/>
    <w:rsid w:val="00933EC1"/>
    <w:rsid w:val="0093694C"/>
    <w:rsid w:val="00941D29"/>
    <w:rsid w:val="009530DB"/>
    <w:rsid w:val="00953676"/>
    <w:rsid w:val="00960A9C"/>
    <w:rsid w:val="00960BE4"/>
    <w:rsid w:val="00963563"/>
    <w:rsid w:val="009635A8"/>
    <w:rsid w:val="009705EE"/>
    <w:rsid w:val="0097328B"/>
    <w:rsid w:val="00974591"/>
    <w:rsid w:val="00976DE6"/>
    <w:rsid w:val="00977927"/>
    <w:rsid w:val="0098135C"/>
    <w:rsid w:val="0098156A"/>
    <w:rsid w:val="00984209"/>
    <w:rsid w:val="00991BAC"/>
    <w:rsid w:val="009A3BF0"/>
    <w:rsid w:val="009A480B"/>
    <w:rsid w:val="009A5631"/>
    <w:rsid w:val="009A6EA0"/>
    <w:rsid w:val="009B39CE"/>
    <w:rsid w:val="009B3F7D"/>
    <w:rsid w:val="009B48DD"/>
    <w:rsid w:val="009B7919"/>
    <w:rsid w:val="009C0CCF"/>
    <w:rsid w:val="009C1335"/>
    <w:rsid w:val="009C1AB2"/>
    <w:rsid w:val="009C32E5"/>
    <w:rsid w:val="009C7251"/>
    <w:rsid w:val="009E0D29"/>
    <w:rsid w:val="009E2157"/>
    <w:rsid w:val="009E2E91"/>
    <w:rsid w:val="009E4EFA"/>
    <w:rsid w:val="00A0061A"/>
    <w:rsid w:val="00A04304"/>
    <w:rsid w:val="00A0464D"/>
    <w:rsid w:val="00A06C38"/>
    <w:rsid w:val="00A07F6D"/>
    <w:rsid w:val="00A10589"/>
    <w:rsid w:val="00A109B4"/>
    <w:rsid w:val="00A139F5"/>
    <w:rsid w:val="00A20E9E"/>
    <w:rsid w:val="00A20F36"/>
    <w:rsid w:val="00A225A9"/>
    <w:rsid w:val="00A24879"/>
    <w:rsid w:val="00A25AB4"/>
    <w:rsid w:val="00A27102"/>
    <w:rsid w:val="00A3002B"/>
    <w:rsid w:val="00A33A46"/>
    <w:rsid w:val="00A365F4"/>
    <w:rsid w:val="00A4333F"/>
    <w:rsid w:val="00A444E9"/>
    <w:rsid w:val="00A4469F"/>
    <w:rsid w:val="00A47D80"/>
    <w:rsid w:val="00A506F1"/>
    <w:rsid w:val="00A519B5"/>
    <w:rsid w:val="00A53132"/>
    <w:rsid w:val="00A5450E"/>
    <w:rsid w:val="00A563F2"/>
    <w:rsid w:val="00A566E8"/>
    <w:rsid w:val="00A61254"/>
    <w:rsid w:val="00A74B6C"/>
    <w:rsid w:val="00A76762"/>
    <w:rsid w:val="00A810F9"/>
    <w:rsid w:val="00A8668F"/>
    <w:rsid w:val="00A86ECC"/>
    <w:rsid w:val="00A86FCC"/>
    <w:rsid w:val="00A87939"/>
    <w:rsid w:val="00A9154E"/>
    <w:rsid w:val="00A92A6F"/>
    <w:rsid w:val="00A92C80"/>
    <w:rsid w:val="00A97DCC"/>
    <w:rsid w:val="00AA3EB6"/>
    <w:rsid w:val="00AA4ACE"/>
    <w:rsid w:val="00AA710D"/>
    <w:rsid w:val="00AB6D25"/>
    <w:rsid w:val="00AD17D4"/>
    <w:rsid w:val="00AD4C32"/>
    <w:rsid w:val="00AE2D4B"/>
    <w:rsid w:val="00AE3FB3"/>
    <w:rsid w:val="00AE4F99"/>
    <w:rsid w:val="00AE6E8E"/>
    <w:rsid w:val="00AF19C9"/>
    <w:rsid w:val="00AF5E9C"/>
    <w:rsid w:val="00AF7A4E"/>
    <w:rsid w:val="00B05B2E"/>
    <w:rsid w:val="00B11C79"/>
    <w:rsid w:val="00B135CB"/>
    <w:rsid w:val="00B14936"/>
    <w:rsid w:val="00B14952"/>
    <w:rsid w:val="00B15EA1"/>
    <w:rsid w:val="00B1618F"/>
    <w:rsid w:val="00B17525"/>
    <w:rsid w:val="00B25A73"/>
    <w:rsid w:val="00B267B0"/>
    <w:rsid w:val="00B31E5A"/>
    <w:rsid w:val="00B32DF7"/>
    <w:rsid w:val="00B35061"/>
    <w:rsid w:val="00B407D3"/>
    <w:rsid w:val="00B42455"/>
    <w:rsid w:val="00B45219"/>
    <w:rsid w:val="00B5405F"/>
    <w:rsid w:val="00B5616E"/>
    <w:rsid w:val="00B57B4F"/>
    <w:rsid w:val="00B653AB"/>
    <w:rsid w:val="00B65F9E"/>
    <w:rsid w:val="00B66B19"/>
    <w:rsid w:val="00B677B3"/>
    <w:rsid w:val="00B75532"/>
    <w:rsid w:val="00B76621"/>
    <w:rsid w:val="00B81852"/>
    <w:rsid w:val="00B82EB4"/>
    <w:rsid w:val="00B87A5A"/>
    <w:rsid w:val="00B914E9"/>
    <w:rsid w:val="00B92FD4"/>
    <w:rsid w:val="00B9356F"/>
    <w:rsid w:val="00B935E9"/>
    <w:rsid w:val="00B956EE"/>
    <w:rsid w:val="00B95A49"/>
    <w:rsid w:val="00B96AD0"/>
    <w:rsid w:val="00BA2BA1"/>
    <w:rsid w:val="00BA31CD"/>
    <w:rsid w:val="00BB4F09"/>
    <w:rsid w:val="00BB50B6"/>
    <w:rsid w:val="00BB77D5"/>
    <w:rsid w:val="00BC2340"/>
    <w:rsid w:val="00BD2577"/>
    <w:rsid w:val="00BD31C8"/>
    <w:rsid w:val="00BD4E33"/>
    <w:rsid w:val="00BD53EE"/>
    <w:rsid w:val="00BD6DC0"/>
    <w:rsid w:val="00BD6EC5"/>
    <w:rsid w:val="00BD7792"/>
    <w:rsid w:val="00BE1D3B"/>
    <w:rsid w:val="00BE58EB"/>
    <w:rsid w:val="00BE6548"/>
    <w:rsid w:val="00BE7401"/>
    <w:rsid w:val="00BE7B58"/>
    <w:rsid w:val="00BF06D8"/>
    <w:rsid w:val="00BF5A69"/>
    <w:rsid w:val="00C030DE"/>
    <w:rsid w:val="00C12D05"/>
    <w:rsid w:val="00C168D4"/>
    <w:rsid w:val="00C207FF"/>
    <w:rsid w:val="00C21628"/>
    <w:rsid w:val="00C22105"/>
    <w:rsid w:val="00C230EE"/>
    <w:rsid w:val="00C244B6"/>
    <w:rsid w:val="00C27E88"/>
    <w:rsid w:val="00C30AC7"/>
    <w:rsid w:val="00C34DFE"/>
    <w:rsid w:val="00C367B9"/>
    <w:rsid w:val="00C3702F"/>
    <w:rsid w:val="00C4118F"/>
    <w:rsid w:val="00C46C64"/>
    <w:rsid w:val="00C477D5"/>
    <w:rsid w:val="00C47820"/>
    <w:rsid w:val="00C47E73"/>
    <w:rsid w:val="00C55EA2"/>
    <w:rsid w:val="00C579F3"/>
    <w:rsid w:val="00C63AA1"/>
    <w:rsid w:val="00C64A37"/>
    <w:rsid w:val="00C6613D"/>
    <w:rsid w:val="00C7083D"/>
    <w:rsid w:val="00C7158E"/>
    <w:rsid w:val="00C7250B"/>
    <w:rsid w:val="00C72701"/>
    <w:rsid w:val="00C727AB"/>
    <w:rsid w:val="00C7346B"/>
    <w:rsid w:val="00C769EB"/>
    <w:rsid w:val="00C76B2F"/>
    <w:rsid w:val="00C77A62"/>
    <w:rsid w:val="00C77C0E"/>
    <w:rsid w:val="00C81E05"/>
    <w:rsid w:val="00C91258"/>
    <w:rsid w:val="00C91687"/>
    <w:rsid w:val="00C924A8"/>
    <w:rsid w:val="00C945FE"/>
    <w:rsid w:val="00C96FAA"/>
    <w:rsid w:val="00C97596"/>
    <w:rsid w:val="00C97A04"/>
    <w:rsid w:val="00CA107B"/>
    <w:rsid w:val="00CA2DC0"/>
    <w:rsid w:val="00CA484D"/>
    <w:rsid w:val="00CA56E2"/>
    <w:rsid w:val="00CB137D"/>
    <w:rsid w:val="00CB1714"/>
    <w:rsid w:val="00CB2E97"/>
    <w:rsid w:val="00CB77FC"/>
    <w:rsid w:val="00CC0A96"/>
    <w:rsid w:val="00CC1C7C"/>
    <w:rsid w:val="00CC3119"/>
    <w:rsid w:val="00CC3D49"/>
    <w:rsid w:val="00CC5399"/>
    <w:rsid w:val="00CC739E"/>
    <w:rsid w:val="00CD07B6"/>
    <w:rsid w:val="00CD19A6"/>
    <w:rsid w:val="00CD58B7"/>
    <w:rsid w:val="00CE04C2"/>
    <w:rsid w:val="00CE3A47"/>
    <w:rsid w:val="00CF0172"/>
    <w:rsid w:val="00CF0937"/>
    <w:rsid w:val="00CF4099"/>
    <w:rsid w:val="00CF58C8"/>
    <w:rsid w:val="00CF6575"/>
    <w:rsid w:val="00D00796"/>
    <w:rsid w:val="00D110E3"/>
    <w:rsid w:val="00D1198D"/>
    <w:rsid w:val="00D13E4D"/>
    <w:rsid w:val="00D23C58"/>
    <w:rsid w:val="00D2614A"/>
    <w:rsid w:val="00D261A2"/>
    <w:rsid w:val="00D3100F"/>
    <w:rsid w:val="00D326B3"/>
    <w:rsid w:val="00D34DB9"/>
    <w:rsid w:val="00D40EE5"/>
    <w:rsid w:val="00D41E92"/>
    <w:rsid w:val="00D41F22"/>
    <w:rsid w:val="00D44740"/>
    <w:rsid w:val="00D45A80"/>
    <w:rsid w:val="00D52431"/>
    <w:rsid w:val="00D54994"/>
    <w:rsid w:val="00D569E3"/>
    <w:rsid w:val="00D6027A"/>
    <w:rsid w:val="00D611CB"/>
    <w:rsid w:val="00D616D2"/>
    <w:rsid w:val="00D63B5F"/>
    <w:rsid w:val="00D66632"/>
    <w:rsid w:val="00D70EF7"/>
    <w:rsid w:val="00D7204D"/>
    <w:rsid w:val="00D72420"/>
    <w:rsid w:val="00D732E9"/>
    <w:rsid w:val="00D75AC8"/>
    <w:rsid w:val="00D8397C"/>
    <w:rsid w:val="00D84674"/>
    <w:rsid w:val="00D909DE"/>
    <w:rsid w:val="00D9348C"/>
    <w:rsid w:val="00D94303"/>
    <w:rsid w:val="00D94370"/>
    <w:rsid w:val="00D944D5"/>
    <w:rsid w:val="00D94EED"/>
    <w:rsid w:val="00D96026"/>
    <w:rsid w:val="00DA6EA0"/>
    <w:rsid w:val="00DA7B02"/>
    <w:rsid w:val="00DA7C1C"/>
    <w:rsid w:val="00DB147A"/>
    <w:rsid w:val="00DB1B7A"/>
    <w:rsid w:val="00DB397E"/>
    <w:rsid w:val="00DB536E"/>
    <w:rsid w:val="00DB562E"/>
    <w:rsid w:val="00DC04FC"/>
    <w:rsid w:val="00DC4F14"/>
    <w:rsid w:val="00DC6708"/>
    <w:rsid w:val="00DD11D3"/>
    <w:rsid w:val="00DD581E"/>
    <w:rsid w:val="00DD6499"/>
    <w:rsid w:val="00DE3D0B"/>
    <w:rsid w:val="00DE526D"/>
    <w:rsid w:val="00DF0DB3"/>
    <w:rsid w:val="00DF18C1"/>
    <w:rsid w:val="00DF217B"/>
    <w:rsid w:val="00E01436"/>
    <w:rsid w:val="00E019E8"/>
    <w:rsid w:val="00E045BD"/>
    <w:rsid w:val="00E04DA7"/>
    <w:rsid w:val="00E0590E"/>
    <w:rsid w:val="00E05D9B"/>
    <w:rsid w:val="00E17B77"/>
    <w:rsid w:val="00E20016"/>
    <w:rsid w:val="00E20A2F"/>
    <w:rsid w:val="00E2320E"/>
    <w:rsid w:val="00E23337"/>
    <w:rsid w:val="00E259EA"/>
    <w:rsid w:val="00E27C44"/>
    <w:rsid w:val="00E27E57"/>
    <w:rsid w:val="00E30E0C"/>
    <w:rsid w:val="00E32061"/>
    <w:rsid w:val="00E35326"/>
    <w:rsid w:val="00E358B8"/>
    <w:rsid w:val="00E36CA6"/>
    <w:rsid w:val="00E41755"/>
    <w:rsid w:val="00E42FF9"/>
    <w:rsid w:val="00E440D3"/>
    <w:rsid w:val="00E44115"/>
    <w:rsid w:val="00E46149"/>
    <w:rsid w:val="00E46A0F"/>
    <w:rsid w:val="00E4714C"/>
    <w:rsid w:val="00E47D3C"/>
    <w:rsid w:val="00E50E6D"/>
    <w:rsid w:val="00E51AEB"/>
    <w:rsid w:val="00E522A7"/>
    <w:rsid w:val="00E52BE5"/>
    <w:rsid w:val="00E54452"/>
    <w:rsid w:val="00E564CB"/>
    <w:rsid w:val="00E608B4"/>
    <w:rsid w:val="00E641D0"/>
    <w:rsid w:val="00E64644"/>
    <w:rsid w:val="00E65AD8"/>
    <w:rsid w:val="00E664C5"/>
    <w:rsid w:val="00E671A2"/>
    <w:rsid w:val="00E67A9D"/>
    <w:rsid w:val="00E71A71"/>
    <w:rsid w:val="00E72AEF"/>
    <w:rsid w:val="00E74EFD"/>
    <w:rsid w:val="00E76D26"/>
    <w:rsid w:val="00E77CA0"/>
    <w:rsid w:val="00E82417"/>
    <w:rsid w:val="00E827C6"/>
    <w:rsid w:val="00E839A3"/>
    <w:rsid w:val="00E92C50"/>
    <w:rsid w:val="00E933C8"/>
    <w:rsid w:val="00E94640"/>
    <w:rsid w:val="00E9796C"/>
    <w:rsid w:val="00EA08FC"/>
    <w:rsid w:val="00EA66F1"/>
    <w:rsid w:val="00EA7720"/>
    <w:rsid w:val="00EB1390"/>
    <w:rsid w:val="00EB2C71"/>
    <w:rsid w:val="00EB4340"/>
    <w:rsid w:val="00EB556D"/>
    <w:rsid w:val="00EB5A7D"/>
    <w:rsid w:val="00EC41E1"/>
    <w:rsid w:val="00EC4857"/>
    <w:rsid w:val="00ED162C"/>
    <w:rsid w:val="00ED190D"/>
    <w:rsid w:val="00ED3946"/>
    <w:rsid w:val="00ED55C0"/>
    <w:rsid w:val="00ED682B"/>
    <w:rsid w:val="00ED6887"/>
    <w:rsid w:val="00ED7F24"/>
    <w:rsid w:val="00EE104A"/>
    <w:rsid w:val="00EE41D5"/>
    <w:rsid w:val="00EE747D"/>
    <w:rsid w:val="00EF0084"/>
    <w:rsid w:val="00EF0EFB"/>
    <w:rsid w:val="00EF2747"/>
    <w:rsid w:val="00EF37B7"/>
    <w:rsid w:val="00F02688"/>
    <w:rsid w:val="00F037A4"/>
    <w:rsid w:val="00F10DEB"/>
    <w:rsid w:val="00F11A4E"/>
    <w:rsid w:val="00F135F5"/>
    <w:rsid w:val="00F141C5"/>
    <w:rsid w:val="00F21E25"/>
    <w:rsid w:val="00F279C1"/>
    <w:rsid w:val="00F27C8F"/>
    <w:rsid w:val="00F32749"/>
    <w:rsid w:val="00F35B03"/>
    <w:rsid w:val="00F3689B"/>
    <w:rsid w:val="00F36FBC"/>
    <w:rsid w:val="00F37172"/>
    <w:rsid w:val="00F428FB"/>
    <w:rsid w:val="00F43718"/>
    <w:rsid w:val="00F4477E"/>
    <w:rsid w:val="00F56387"/>
    <w:rsid w:val="00F564AF"/>
    <w:rsid w:val="00F6158E"/>
    <w:rsid w:val="00F63CF6"/>
    <w:rsid w:val="00F64547"/>
    <w:rsid w:val="00F64AC1"/>
    <w:rsid w:val="00F65B96"/>
    <w:rsid w:val="00F67AC9"/>
    <w:rsid w:val="00F67D8F"/>
    <w:rsid w:val="00F72D50"/>
    <w:rsid w:val="00F76881"/>
    <w:rsid w:val="00F802BE"/>
    <w:rsid w:val="00F86024"/>
    <w:rsid w:val="00F8611A"/>
    <w:rsid w:val="00F8742E"/>
    <w:rsid w:val="00F93B0D"/>
    <w:rsid w:val="00F9784B"/>
    <w:rsid w:val="00FA5128"/>
    <w:rsid w:val="00FA544B"/>
    <w:rsid w:val="00FA6130"/>
    <w:rsid w:val="00FB42D4"/>
    <w:rsid w:val="00FB5906"/>
    <w:rsid w:val="00FB762F"/>
    <w:rsid w:val="00FC19E8"/>
    <w:rsid w:val="00FC2AED"/>
    <w:rsid w:val="00FC3D6D"/>
    <w:rsid w:val="00FD4A9C"/>
    <w:rsid w:val="00FD5EA7"/>
    <w:rsid w:val="00FE51A2"/>
    <w:rsid w:val="00FE6CB4"/>
    <w:rsid w:val="00FF0242"/>
    <w:rsid w:val="00FF147C"/>
    <w:rsid w:val="00FF45E1"/>
    <w:rsid w:val="00FF4E3F"/>
    <w:rsid w:val="00FF74E1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F08DB01-66BD-4E2A-B46A-6C7560A1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 Light" w:eastAsia="Fira Sans Light" w:hAnsi="Fira Sans Light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  <w:lang w:eastAsia="en-US"/>
    </w:rPr>
  </w:style>
  <w:style w:type="paragraph" w:styleId="Nagwek1">
    <w:name w:val="heading 1"/>
    <w:aliases w:val="tytuł podrozdziału"/>
    <w:basedOn w:val="Normalny"/>
    <w:next w:val="Normalny"/>
    <w:link w:val="Nagwek1Znak"/>
    <w:uiPriority w:val="99"/>
    <w:qFormat/>
    <w:rsid w:val="00633014"/>
    <w:pPr>
      <w:keepNext/>
      <w:spacing w:before="240" w:line="240" w:lineRule="auto"/>
      <w:outlineLvl w:val="0"/>
    </w:pPr>
    <w:rPr>
      <w:rFonts w:ascii="Fira Sans SemiBold" w:hAnsi="Fira Sans SemiBold"/>
      <w:bCs/>
      <w:color w:val="001D77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A2DC1"/>
    <w:pPr>
      <w:keepNext/>
      <w:keepLines/>
      <w:spacing w:before="40" w:after="0"/>
      <w:outlineLvl w:val="1"/>
    </w:pPr>
    <w:rPr>
      <w:rFonts w:ascii="Fira Sans Medium" w:hAnsi="Fira Sans Medium"/>
      <w:color w:val="2E74B5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A2DC1"/>
    <w:pPr>
      <w:keepNext/>
      <w:keepLines/>
      <w:spacing w:before="40" w:after="0"/>
      <w:outlineLvl w:val="2"/>
    </w:pPr>
    <w:rPr>
      <w:rFonts w:ascii="Fira Sans Medium" w:hAnsi="Fira Sans Medium"/>
      <w:color w:val="1F4D78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7395"/>
    <w:pPr>
      <w:keepNext/>
      <w:keepLines/>
      <w:spacing w:before="40" w:after="0"/>
      <w:outlineLvl w:val="3"/>
    </w:pPr>
    <w:rPr>
      <w:rFonts w:ascii="Fira Sans Medium" w:hAnsi="Fira Sans Medium"/>
      <w:i/>
      <w:iCs/>
      <w:color w:val="2E74B5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A2DC1"/>
    <w:pPr>
      <w:keepNext/>
      <w:keepLines/>
      <w:spacing w:before="40" w:after="0"/>
      <w:outlineLvl w:val="4"/>
    </w:pPr>
    <w:rPr>
      <w:rFonts w:ascii="Fira Sans Medium" w:hAnsi="Fira Sans Medium"/>
      <w:color w:val="2E74B5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A2DC1"/>
    <w:pPr>
      <w:keepNext/>
      <w:keepLines/>
      <w:spacing w:before="40" w:after="0"/>
      <w:outlineLvl w:val="7"/>
    </w:pPr>
    <w:rPr>
      <w:rFonts w:ascii="Fira Sans Medium" w:hAnsi="Fira Sans Medium"/>
      <w:color w:val="272727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A2DC1"/>
    <w:pPr>
      <w:keepNext/>
      <w:keepLines/>
      <w:spacing w:before="40" w:after="0"/>
      <w:outlineLvl w:val="8"/>
    </w:pPr>
    <w:rPr>
      <w:rFonts w:ascii="Fira Sans Medium" w:hAnsi="Fira Sans Medium"/>
      <w:i/>
      <w:iCs/>
      <w:color w:val="272727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uiPriority w:val="99"/>
    <w:locked/>
    <w:rsid w:val="00633014"/>
    <w:rPr>
      <w:rFonts w:ascii="Fira Sans SemiBold" w:hAnsi="Fira Sans SemiBold"/>
      <w:color w:val="001D77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A2DC1"/>
    <w:rPr>
      <w:rFonts w:ascii="Fira Sans Medium" w:hAnsi="Fira Sans Medium"/>
      <w:color w:val="2E74B5"/>
      <w:sz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A2DC1"/>
    <w:rPr>
      <w:rFonts w:ascii="Fira Sans Medium" w:hAnsi="Fira Sans Medium"/>
      <w:color w:val="1F4D78"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37395"/>
    <w:rPr>
      <w:rFonts w:ascii="Fira Sans Medium" w:hAnsi="Fira Sans Medium"/>
      <w:i/>
      <w:color w:val="2E74B5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7A2DC1"/>
    <w:rPr>
      <w:rFonts w:ascii="Fira Sans Medium" w:hAnsi="Fira Sans Medium"/>
      <w:color w:val="2E74B5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A2DC1"/>
    <w:rPr>
      <w:rFonts w:ascii="Fira Sans Medium" w:hAnsi="Fira Sans Medium"/>
      <w:color w:val="272727"/>
      <w:sz w:val="21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7A2DC1"/>
    <w:rPr>
      <w:rFonts w:ascii="Fira Sans Medium" w:hAnsi="Fira Sans Medium"/>
      <w:i/>
      <w:color w:val="272727"/>
      <w:sz w:val="21"/>
    </w:rPr>
  </w:style>
  <w:style w:type="paragraph" w:customStyle="1" w:styleId="LID">
    <w:name w:val="LID"/>
    <w:basedOn w:val="Normalny"/>
    <w:uiPriority w:val="99"/>
    <w:rsid w:val="00633014"/>
    <w:rPr>
      <w:b/>
      <w:noProof/>
      <w:szCs w:val="19"/>
      <w:lang w:eastAsia="pl-PL"/>
    </w:rPr>
  </w:style>
  <w:style w:type="table" w:customStyle="1" w:styleId="Tabelasiatki1jasnaakcent11">
    <w:name w:val="Tabela siatki 1 — jasna — akcent 11"/>
    <w:uiPriority w:val="99"/>
    <w:rsid w:val="007A2DC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jasna1">
    <w:name w:val="Siatka tabeli — jasna1"/>
    <w:uiPriority w:val="99"/>
    <w:rsid w:val="007A2DC1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F324B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324B"/>
    <w:rPr>
      <w:rFonts w:ascii="Segoe UI" w:hAnsi="Segoe UI"/>
      <w:sz w:val="18"/>
    </w:rPr>
  </w:style>
  <w:style w:type="table" w:styleId="Tabela-Siatka">
    <w:name w:val="Table Grid"/>
    <w:basedOn w:val="Standardowy"/>
    <w:uiPriority w:val="99"/>
    <w:rsid w:val="009C13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5203F1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0662E2"/>
    <w:pPr>
      <w:tabs>
        <w:tab w:val="center" w:pos="4536"/>
        <w:tab w:val="right" w:pos="9072"/>
      </w:tabs>
      <w:spacing w:after="0" w:line="240" w:lineRule="auto"/>
    </w:pPr>
    <w:rPr>
      <w:rFonts w:ascii="Fira Sans Light" w:hAnsi="Fira Sans Light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662E2"/>
  </w:style>
  <w:style w:type="paragraph" w:styleId="Stopka">
    <w:name w:val="footer"/>
    <w:basedOn w:val="Normalny"/>
    <w:link w:val="StopkaZnak"/>
    <w:uiPriority w:val="99"/>
    <w:rsid w:val="000662E2"/>
    <w:pPr>
      <w:tabs>
        <w:tab w:val="center" w:pos="4536"/>
        <w:tab w:val="right" w:pos="9072"/>
      </w:tabs>
      <w:spacing w:after="0" w:line="240" w:lineRule="auto"/>
    </w:pPr>
    <w:rPr>
      <w:rFonts w:ascii="Fira Sans Light" w:hAnsi="Fira Sans Light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662E2"/>
  </w:style>
  <w:style w:type="paragraph" w:styleId="Akapitzlist">
    <w:name w:val="List Paragraph"/>
    <w:basedOn w:val="Normalny"/>
    <w:uiPriority w:val="99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448A7"/>
    <w:pPr>
      <w:spacing w:after="0" w:line="240" w:lineRule="auto"/>
    </w:pPr>
    <w:rPr>
      <w:rFonts w:ascii="Fira Sans Light" w:hAnsi="Fira Sans Light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448A7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1448A7"/>
    <w:rPr>
      <w:rFonts w:cs="Times New Roman"/>
      <w:vertAlign w:val="superscript"/>
    </w:rPr>
  </w:style>
  <w:style w:type="paragraph" w:customStyle="1" w:styleId="tytuinformacji">
    <w:name w:val="tytuł informacji"/>
    <w:basedOn w:val="Normalny"/>
    <w:uiPriority w:val="99"/>
    <w:rsid w:val="00633014"/>
    <w:pPr>
      <w:spacing w:after="0" w:line="240" w:lineRule="auto"/>
    </w:pPr>
    <w:rPr>
      <w:rFonts w:ascii="Fira Sans Extra Condensed SemiB" w:hAnsi="Fira Sans Extra Condensed SemiB"/>
      <w:color w:val="000000"/>
      <w:sz w:val="40"/>
      <w:szCs w:val="26"/>
    </w:rPr>
  </w:style>
  <w:style w:type="paragraph" w:customStyle="1" w:styleId="tekstzboku">
    <w:name w:val="tekst z boku"/>
    <w:basedOn w:val="Normalny"/>
    <w:uiPriority w:val="99"/>
    <w:rsid w:val="008F74DF"/>
    <w:pPr>
      <w:spacing w:after="0"/>
    </w:pPr>
    <w:rPr>
      <w:rFonts w:eastAsia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uiPriority w:val="99"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uiPriority w:val="99"/>
    <w:rsid w:val="00074DD8"/>
    <w:pPr>
      <w:spacing w:before="0" w:after="0" w:line="240" w:lineRule="auto"/>
    </w:pPr>
    <w:rPr>
      <w:sz w:val="20"/>
    </w:rPr>
  </w:style>
  <w:style w:type="paragraph" w:customStyle="1" w:styleId="Tekstpodstawowywcity21">
    <w:name w:val="Tekst podstawowy wcięty 21"/>
    <w:basedOn w:val="Normalny"/>
    <w:uiPriority w:val="99"/>
    <w:rsid w:val="007B0E35"/>
    <w:pPr>
      <w:spacing w:before="0" w:after="0" w:line="240" w:lineRule="auto"/>
      <w:ind w:left="227" w:hanging="22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3B6350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mailto:obslugaprasowa@stat.gov.pl" TargetMode="External"/><Relationship Id="rId26" Type="http://schemas.openxmlformats.org/officeDocument/2006/relationships/hyperlink" Target="http://stat.gov.pl/obszary-tematyczne/przemysl-budownictwo-srodki-trwale/budownictwo/efekty-dzialalnosci-budowlanej-w-2017-roku,3,13.html" TargetMode="External"/><Relationship Id="rId39" Type="http://schemas.openxmlformats.org/officeDocument/2006/relationships/hyperlink" Target="http://stat.gov.pl/metainformacje/slownik-pojec/pojecia-stosowane-w-statystyce-publicznej/329,pojecie.html" TargetMode="External"/><Relationship Id="rId21" Type="http://schemas.openxmlformats.org/officeDocument/2006/relationships/image" Target="media/image11.png"/><Relationship Id="rId34" Type="http://schemas.openxmlformats.org/officeDocument/2006/relationships/hyperlink" Target="http://swaid.stat.gov.pl/SitePagesDBW/Budownictwo.aspx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Z.Kurlej@stat.gov.pl" TargetMode="External"/><Relationship Id="rId20" Type="http://schemas.openxmlformats.org/officeDocument/2006/relationships/image" Target="media/image10.png"/><Relationship Id="rId29" Type="http://schemas.openxmlformats.org/officeDocument/2006/relationships/hyperlink" Target="http://stat.gov.pl/metainformacje/slownik-pojec/pojecia-stosowane-w-statystyce-publicznej/1021,pojecie.htm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0.emf"/><Relationship Id="rId24" Type="http://schemas.openxmlformats.org/officeDocument/2006/relationships/header" Target="header2.xml"/><Relationship Id="rId32" Type="http://schemas.openxmlformats.org/officeDocument/2006/relationships/hyperlink" Target="http://stat.gov.pl/metainformacje/slownik-pojec/pojecia-stosowane-w-statystyce-publicznej/329,pojecie.html" TargetMode="External"/><Relationship Id="rId37" Type="http://schemas.openxmlformats.org/officeDocument/2006/relationships/hyperlink" Target="http://stat.gov.pl/metainformacje/slownik-pojec/pojecia-stosowane-w-statystyce-publicznej/3176,pojecie.html" TargetMode="Externa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hyperlink" Target="https://bdl.stat.gov.pl/BDL/start" TargetMode="External"/><Relationship Id="rId36" Type="http://schemas.openxmlformats.org/officeDocument/2006/relationships/hyperlink" Target="http://stat.gov.pl/metainformacje/slownik-pojec/pojecia-stosowane-w-statystyce-publicznej/1021,pojecie.html" TargetMode="External"/><Relationship Id="rId10" Type="http://schemas.openxmlformats.org/officeDocument/2006/relationships/image" Target="media/image4.emf"/><Relationship Id="rId19" Type="http://schemas.openxmlformats.org/officeDocument/2006/relationships/image" Target="media/image9.png"/><Relationship Id="rId31" Type="http://schemas.openxmlformats.org/officeDocument/2006/relationships/hyperlink" Target="http://stat.gov.pl/metainformacje/slownik-pojec/pojecia-stosowane-w-statystyce-publicznej/1743,pojeci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0.pn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hyperlink" Target="http://swaid.stat.gov.pl/SitePagesDBW/Budownictwo.aspx" TargetMode="External"/><Relationship Id="rId30" Type="http://schemas.openxmlformats.org/officeDocument/2006/relationships/hyperlink" Target="http://stat.gov.pl/metainformacje/slownik-pojec/pojecia-stosowane-w-statystyce-publicznej/3176,pojecie.html" TargetMode="External"/><Relationship Id="rId35" Type="http://schemas.openxmlformats.org/officeDocument/2006/relationships/hyperlink" Target="https://bdl.stat.gov.pl/BDL/start" TargetMode="External"/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hyperlink" Target="mailto:rzecznik@stat.gov.pl" TargetMode="External"/><Relationship Id="rId25" Type="http://schemas.openxmlformats.org/officeDocument/2006/relationships/footer" Target="footer2.xml"/><Relationship Id="rId33" Type="http://schemas.openxmlformats.org/officeDocument/2006/relationships/hyperlink" Target="http://stat.gov.pl/obszary-tematyczne/przemysl-budownictwo-srodki-trwale/budownictwo/efekty-dzialalnosci-budowlanej-w-2017-roku,3,13.html" TargetMode="External"/><Relationship Id="rId38" Type="http://schemas.openxmlformats.org/officeDocument/2006/relationships/hyperlink" Target="http://stat.gov.pl/metainformacje/slownik-pojec/pojecia-stosowane-w-statystyce-publicznej/1743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0964B-910F-4C06-B4CA-BAE5E7A6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643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Zawistowska Beata</dc:creator>
  <cp:lastModifiedBy>Nocko Agnieszka</cp:lastModifiedBy>
  <cp:revision>22</cp:revision>
  <cp:lastPrinted>2018-08-24T08:59:00Z</cp:lastPrinted>
  <dcterms:created xsi:type="dcterms:W3CDTF">2018-08-31T04:57:00Z</dcterms:created>
  <dcterms:modified xsi:type="dcterms:W3CDTF">2018-09-05T12:38:00Z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0x00FBEB7090D5ED8B4AADA9FC396769AC9B</vt:lpwstr>
  </property>
  <property fmtid="{D5CDD505-2E9C-101B-9397-08002B2CF9AE}" pid="3" name="TemplateUrl">
    <vt:lpwstr/>
  </property>
  <property fmtid="{D5CDD505-2E9C-101B-9397-08002B2CF9AE}" pid="4" name="Odbiorcy2">
    <vt:lpwstr/>
  </property>
  <property fmtid="{D5CDD505-2E9C-101B-9397-08002B2CF9AE}" pid="5" name="Osoba">
    <vt:lpwstr>STAT\MIETKOWSKAM</vt:lpwstr>
  </property>
  <property fmtid="{D5CDD505-2E9C-101B-9397-08002B2CF9AE}" pid="6" name="_SourceUrl">
    <vt:lpwstr/>
  </property>
  <property fmtid="{D5CDD505-2E9C-101B-9397-08002B2CF9AE}" pid="7" name="NazwaPliku">
    <vt:lpwstr>Informacja sygnalna_przykładowa wizualizacja.docx.docx</vt:lpwstr>
  </property>
  <property fmtid="{D5CDD505-2E9C-101B-9397-08002B2CF9AE}" pid="8" name="xd_ProgID">
    <vt:lpwstr/>
  </property>
  <property fmtid="{D5CDD505-2E9C-101B-9397-08002B2CF9AE}" pid="9" name="Order">
    <vt:lpwstr/>
  </property>
  <property fmtid="{D5CDD505-2E9C-101B-9397-08002B2CF9AE}" pid="10" name="MetaInfo">
    <vt:lpwstr/>
  </property>
</Properties>
</file>